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 w:val="0"/>
          <w:color w:val="000000"/>
          <w:sz w:val="40"/>
        </w:rPr>
        <w:t>多模态知识库与智能体问答平台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5976"/>
      </w:tblGrid>
      <w:tr>
        <w:tc>
          <w:tcPr>
            <w:tcW w:type="dxa" w:w="1512"/>
            <w:shd w:val="clear"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产品名称</w:t>
            </w:r>
          </w:p>
        </w:tc>
        <w:tc>
          <w:tcPr>
            <w:tcW w:type="dxa" w:w="1512"/>
            <w:shd w:val="clear"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</w:t>
            </w:r>
          </w:p>
        </w:tc>
        <w:tc>
          <w:tcPr>
            <w:tcW w:type="dxa" w:w="5976"/>
            <w:shd w:val="clear"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参数</w:t>
            </w:r>
          </w:p>
        </w:tc>
      </w:tr>
      <w:tr>
        <w:tc>
          <w:tcPr>
            <w:tcW w:type="dxa" w:w="151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多模态知识库与智能体问答平台</w:t>
            </w:r>
          </w:p>
        </w:tc>
        <w:tc>
          <w:tcPr>
            <w:tcW w:type="dxa" w:w="15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</w:r>
          </w:p>
        </w:tc>
        <w:tc>
          <w:tcPr>
            <w:tcW w:type="dxa" w:w="5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通过 React/Vite 前端、FastAPI 路由层、业务服务、RAG 核心、PostgreSQL 业务状态、向量与图谱存储、Redis 以及文件工作区，形成“知识接入—业务处理—索引构建—混合检索—流式回答—引用回溯”的闭环。</w:t>
            </w:r>
          </w:p>
        </w:tc>
      </w:tr>
      <w:tr>
        <w:tc>
          <w:tcPr>
            <w:tcW w:type="dxa" w:w="151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/>
        </w:tc>
        <w:tc>
          <w:tcPr>
            <w:tcW w:type="dxa" w:w="15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知识接入与处理</w:t>
            </w:r>
          </w:p>
        </w:tc>
        <w:tc>
          <w:tcPr>
            <w:tcW w:type="dxa" w:w="5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 支持多种格式接入：文本与办公文档 txt、md、pdf、doc、docx、ppt、pptx、xls、xlsx、html、json；表格与数据 csv、xlsx；图像 jpg、jpeg、png、bmp、gif；音视频 mp3、wav、mp4、webm。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2. 支持全局解析器选择，并可按文件类型配置覆盖。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3. 支持 fixed_size、recursive、sentence 等分块策略；按自然边界识别 Markdown 标题章节，保留结构后再按段落细分，并以 token 大小和语义边界控制分块。</w:t>
            </w:r>
          </w:p>
        </w:tc>
      </w:tr>
      <w:tr>
        <w:tc>
          <w:tcPr>
            <w:tcW w:type="dxa" w:w="151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/>
        </w:tc>
        <w:tc>
          <w:tcPr>
            <w:tcW w:type="dxa" w:w="15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知识库与内容</w:t>
            </w:r>
          </w:p>
        </w:tc>
        <w:tc>
          <w:tcPr>
            <w:tcW w:type="dxa" w:w="5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 知识库管理功能，支持创建、列表、切换、元数据更新、删除；按能力控制写入、管理和删除。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2. 文档管理功能，支持列表、摘要分页、下载、删除、批量删除、重试和检索修复。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3. 分块管理功能，支持分页查看、搜索、编辑、标签更新和删除。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 支持标签列表、文档关联、自动重新生成与恢复；支持实体、节点和边查询与维护；图谱数据可供前端可视化；支持受控媒体交付、检索就绪检查、只读 readiness 预览和文档档案修复。</w:t>
            </w:r>
          </w:p>
        </w:tc>
      </w:tr>
      <w:tr>
        <w:tc>
          <w:tcPr>
            <w:tcW w:type="dxa" w:w="151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/>
        </w:tc>
        <w:tc>
          <w:tcPr>
            <w:tcW w:type="dxa" w:w="15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检索与问答</w:t>
            </w:r>
          </w:p>
        </w:tc>
        <w:tc>
          <w:tcPr>
            <w:tcW w:type="dxa" w:w="5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 支持 BM25、向量和图谱三路检索通道，并通过 RRF（RRF_K 默认 60）融合结果。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2. 支持 balanced、precise、broad 等检索模式，可配置 retrieval_top_k、chunk_top_k、重排和通道裁剪。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3. Agent SSE 支持 accepted、检索状态、增量 token、引用和完成等事件，会话及关键状态写入 PostgreSQL。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 支持引用回溯、检索健康检查和按知识库范围进行访问控制。</w:t>
            </w:r>
          </w:p>
        </w:tc>
      </w:tr>
      <w:tr>
        <w:tc>
          <w:tcPr>
            <w:tcW w:type="dxa" w:w="151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/>
        </w:tc>
        <w:tc>
          <w:tcPr>
            <w:tcW w:type="dxa" w:w="15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智能体</w:t>
            </w:r>
          </w:p>
        </w:tc>
        <w:tc>
          <w:tcPr>
            <w:tcW w:type="dxa" w:w="5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 支持智能体模板、创建、编辑、复制、删除和启用管理。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2. 支持智能体绑定可访问知识库、配置提示词和检索参数，并按调用者权限校验知识库范围。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3. 支持会话创建、历史记录、流式回答和共享智能体使用；共享智能体不共享会话历史。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 支持任务 owner 定向事件、脱敏监控通道和连接期间的会话代际复核。</w:t>
            </w:r>
          </w:p>
        </w:tc>
      </w:tr>
      <w:tr>
        <w:tc>
          <w:tcPr>
            <w:tcW w:type="dxa" w:w="151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/>
        </w:tc>
        <w:tc>
          <w:tcPr>
            <w:tcW w:type="dxa" w:w="15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用户与安全</w:t>
            </w:r>
          </w:p>
        </w:tc>
        <w:tc>
          <w:tcPr>
            <w:tcW w:type="dxa" w:w="5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 采用 super_admin、dept_admin、teacher、assistant、student 五级 RBAC，权限采用 resource:action 格式。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2. 所有受保护接口统一经过 require_permission() 和当前持久角色校验。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3. PostgreSQL 持久化用户、角色、审计、Token 撤销和会话代际信息；WebSocket 收发期间复核撤销状态。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 浏览器不接收本地路径、模型目录、密钥或未授权任务事件。</w:t>
            </w:r>
          </w:p>
        </w:tc>
      </w:tr>
      <w:tr>
        <w:tc>
          <w:tcPr>
            <w:tcW w:type="dxa" w:w="151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/>
        </w:tc>
        <w:tc>
          <w:tcPr>
            <w:tcW w:type="dxa" w:w="15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设置与配置</w:t>
            </w:r>
          </w:p>
        </w:tc>
        <w:tc>
          <w:tcPr>
            <w:tcW w:type="dxa" w:w="5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 设置按平台默认、个人设置、知识库资源设置以及请求或任务覆盖进行合并。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2. 新上传任务固化解析、分块、模型和检索设置快照，历史任务不因后续设置变化而重写。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3. 设置更新带 revision 和 fingerprint，使用 expected_revision 检测并发冲突，冲突返回 409。</w:t>
            </w:r>
          </w:p>
        </w:tc>
      </w:tr>
      <w:tr>
        <w:tc>
          <w:tcPr>
            <w:tcW w:type="dxa" w:w="151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/>
        </w:tc>
        <w:tc>
          <w:tcPr>
            <w:tcW w:type="dxa" w:w="15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部署与运维</w:t>
            </w:r>
          </w:p>
        </w:tc>
        <w:tc>
          <w:tcPr>
            <w:tcW w:type="dxa" w:w="5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 支持 app、postgres、redis、migrate、marker、nginx 等服务组成的 Compose 部署，应用通过内部网络运行。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2. /api/live 检查进程存活，/api/ready 检查依赖可用性；Prometheus 指标和脱敏监控通道用于运行观察。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3. PostgreSQL 作为认证、共享状态、迁移历史和业务仓库的权威后端。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4. 生产迁移前必须完成可恢复备份确认并设置 MIGRATION_BACKUP_ACKNOWLEDGED=true。</w:t>
            </w:r>
          </w:p>
        </w:tc>
      </w:tr>
      <w:tr>
        <w:tc>
          <w:tcPr>
            <w:tcW w:type="dxa" w:w="151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/>
        </w:tc>
        <w:tc>
          <w:tcPr>
            <w:tcW w:type="dxa" w:w="15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val="clear" w:fill="D9D9D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前端与领域应用</w:t>
            </w:r>
          </w:p>
        </w:tc>
        <w:tc>
          <w:tcPr>
            <w:tcW w:type="dxa" w:w="5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1. 前端提供知识库、文档、分块、标签、检索、智能体、会话、设置和管理员页面，并通过 SSE/WS 展示任务与回答状态。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2. 支持图片、音频和视频等受控媒体访问。</w:t>
            </w:r>
          </w:p>
          <w:p>
            <w:pPr>
              <w:spacing w:line="240" w:lineRule="auto" w:before="0" w:after="20"/>
              <w:ind w:firstLine="360"/>
              <w:jc w:val="both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3. 已具备视觉、视频语义段和汽车维修等领域扩展接口，可按专业场景继续扩展。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RAG-Anything Project</dc:creator>
  <cp:keywords/>
  <dc:description>generated by python-docx</dc:description>
  <cp:lastModifiedBy>RAG-Anything Project</cp:lastModifiedBy>
  <cp:revision>1</cp:revision>
  <dcterms:created xsi:type="dcterms:W3CDTF">2013-12-23T23:15:00Z</dcterms:created>
  <dcterms:modified xsi:type="dcterms:W3CDTF">2013-12-23T23:15:00Z</dcterms:modified>
  <cp:category/>
</cp:coreProperties>
</file>