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DA108">
      <w:pPr>
        <w:spacing w:after="120"/>
        <w:jc w:val="center"/>
      </w:pPr>
      <w:r>
        <w:rPr>
          <w:rFonts w:ascii="宋体" w:hAnsi="宋体" w:eastAsia="宋体"/>
          <w:b w:val="0"/>
          <w:color w:val="000000"/>
          <w:sz w:val="40"/>
        </w:rPr>
        <w:t>多模态知识库与智能体问答平台项目详细参数</w:t>
      </w:r>
    </w:p>
    <w:p w14:paraId="291E555F">
      <w:pPr>
        <w:spacing w:after="160" w:line="276" w:lineRule="auto"/>
        <w:jc w:val="both"/>
      </w:pPr>
      <w:r>
        <w:rPr>
          <w:rFonts w:ascii="宋体" w:hAnsi="宋体" w:eastAsia="宋体"/>
          <w:b w:val="0"/>
          <w:color w:val="000000"/>
          <w:sz w:val="21"/>
        </w:rPr>
        <w:t>本参数清单依据当前项目代码、配置、数据库迁移和项目总结整理，描述平台已形成的知识接入、处理、检索、问答、权限与运维能力；外部模型、浏览器、Worker、Docker 和生产环境验收需以对应受控证据为准。</w:t>
      </w:r>
    </w:p>
    <w:tbl>
      <w:tblPr>
        <w:tblStyle w:val="32"/>
        <w:tblW w:w="9000" w:type="dxa"/>
        <w:jc w:val="center"/>
        <w:tblLayout w:type="fixed"/>
        <w:tblCellMar>
          <w:top w:w="0" w:type="dxa"/>
          <w:left w:w="108" w:type="dxa"/>
          <w:bottom w:w="0" w:type="dxa"/>
          <w:right w:w="108" w:type="dxa"/>
        </w:tblCellMar>
      </w:tblPr>
      <w:tblGrid>
        <w:gridCol w:w="792"/>
        <w:gridCol w:w="2088"/>
        <w:gridCol w:w="6120"/>
      </w:tblGrid>
      <w:tr w14:paraId="76C66A1E">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hemeFill="background1"/>
            <w:tcMar>
              <w:top w:w="120" w:type="dxa"/>
              <w:left w:w="120" w:type="dxa"/>
              <w:bottom w:w="120" w:type="dxa"/>
              <w:right w:w="120" w:type="dxa"/>
            </w:tcMar>
            <w:vAlign w:val="center"/>
          </w:tcPr>
          <w:p w14:paraId="38614FB2">
            <w:pPr>
              <w:jc w:val="center"/>
            </w:pPr>
            <w:r>
              <w:rPr>
                <w:rFonts w:ascii="宋体" w:hAnsi="宋体" w:eastAsia="宋体"/>
                <w:b/>
                <w:color w:val="000000"/>
                <w:sz w:val="24"/>
              </w:rPr>
              <w:t>序号</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hemeFill="background1"/>
            <w:tcMar>
              <w:top w:w="120" w:type="dxa"/>
              <w:left w:w="120" w:type="dxa"/>
              <w:bottom w:w="120" w:type="dxa"/>
              <w:right w:w="120" w:type="dxa"/>
            </w:tcMar>
            <w:vAlign w:val="center"/>
          </w:tcPr>
          <w:p w14:paraId="326E59C1">
            <w:pPr>
              <w:jc w:val="center"/>
            </w:pPr>
            <w:r>
              <w:rPr>
                <w:rFonts w:ascii="宋体" w:hAnsi="宋体" w:eastAsia="宋体"/>
                <w:b/>
                <w:color w:val="000000"/>
                <w:sz w:val="24"/>
              </w:rPr>
              <w:t>模块名称</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hemeFill="background1"/>
            <w:tcMar>
              <w:top w:w="120" w:type="dxa"/>
              <w:left w:w="120" w:type="dxa"/>
              <w:bottom w:w="120" w:type="dxa"/>
              <w:right w:w="120" w:type="dxa"/>
            </w:tcMar>
            <w:vAlign w:val="center"/>
          </w:tcPr>
          <w:p w14:paraId="0CCD7BF8">
            <w:pPr>
              <w:jc w:val="center"/>
              <w:rPr>
                <w:color w:val="auto"/>
              </w:rPr>
            </w:pPr>
            <w:r>
              <w:rPr>
                <w:rFonts w:ascii="宋体" w:hAnsi="宋体" w:eastAsia="宋体"/>
                <w:b/>
                <w:color w:val="auto"/>
                <w:sz w:val="24"/>
              </w:rPr>
              <w:t>详细参数</w:t>
            </w:r>
          </w:p>
        </w:tc>
      </w:tr>
      <w:tr w14:paraId="31BFE411">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330262B">
            <w:pPr>
              <w:jc w:val="center"/>
            </w:pPr>
            <w:r>
              <w:rPr>
                <w:rFonts w:ascii="宋体" w:hAnsi="宋体" w:eastAsia="宋体"/>
                <w:b w:val="0"/>
                <w:color w:val="000000"/>
                <w:sz w:val="21"/>
              </w:rPr>
              <w:t>1</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78EE1ACB">
            <w:pPr>
              <w:jc w:val="center"/>
            </w:pPr>
            <w:r>
              <w:rPr>
                <w:rFonts w:ascii="宋体" w:hAnsi="宋体" w:eastAsia="宋体"/>
                <w:b/>
                <w:color w:val="000000"/>
                <w:sz w:val="22"/>
              </w:rPr>
              <w:t>平台定位与总体能力</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22BF6E43">
            <w:pPr>
              <w:spacing w:before="0" w:after="40" w:line="276" w:lineRule="auto"/>
              <w:ind w:firstLine="420"/>
              <w:jc w:val="both"/>
            </w:pPr>
            <w:r>
              <w:rPr>
                <w:rFonts w:ascii="宋体" w:hAnsi="宋体" w:eastAsia="宋体"/>
                <w:b w:val="0"/>
                <w:color w:val="000000"/>
                <w:sz w:val="21"/>
              </w:rPr>
              <w:t>平台面向教育和专业实训场景，提供从知识接入、文档解析、分块、向量与图谱索引，到混合检索、智能体问答、引用回溯和会话管理的完整链路。</w:t>
            </w:r>
          </w:p>
          <w:p w14:paraId="0B54CB0D">
            <w:pPr>
              <w:spacing w:before="0" w:after="40" w:line="276" w:lineRule="auto"/>
              <w:jc w:val="both"/>
            </w:pPr>
            <w:r>
              <w:rPr>
                <w:rFonts w:ascii="宋体" w:hAnsi="宋体" w:eastAsia="宋体"/>
                <w:b/>
                <w:color w:val="0000FF"/>
                <w:sz w:val="21"/>
              </w:rPr>
              <w:t>项目优势：通过统一的平台闭环，把多模态资料处理、知识检索和智能体应用连接到同一套可审计流程中，便于教学内容沉淀与持续复用。</w:t>
            </w:r>
          </w:p>
          <w:p w14:paraId="7C209618">
            <w:pPr>
              <w:spacing w:before="0" w:after="40" w:line="276" w:lineRule="auto"/>
              <w:ind w:firstLine="420"/>
              <w:jc w:val="both"/>
            </w:pPr>
            <w:r>
              <w:rPr>
                <w:rFonts w:ascii="宋体" w:hAnsi="宋体" w:eastAsia="宋体"/>
                <w:b w:val="0"/>
                <w:color w:val="000000"/>
                <w:sz w:val="21"/>
              </w:rPr>
              <w:t>当前实现以仓库代码、配置和迁移为事实基线；真实外部 Provider、浏览器和生产环境结论不在本清单中替代。</w:t>
            </w:r>
          </w:p>
        </w:tc>
      </w:tr>
      <w:tr w14:paraId="257788FB">
        <w:tblPrEx>
          <w:tblCellMar>
            <w:top w:w="0" w:type="dxa"/>
            <w:left w:w="108" w:type="dxa"/>
            <w:bottom w:w="0" w:type="dxa"/>
            <w:right w:w="108" w:type="dxa"/>
          </w:tblCellMar>
        </w:tblPrEx>
        <w:trPr>
          <w:jc w:val="center"/>
        </w:trPr>
        <w:tc>
          <w:tcPr>
            <w:tcW w:w="792" w:type="dxa"/>
            <w:tcBorders>
              <w:top w:val="single" w:color="4F81BD" w:themeColor="accent1" w:sz="6" w:space="0"/>
              <w:left w:val="single" w:color="4F81BD" w:themeColor="accent1" w:sz="6" w:space="0"/>
              <w:bottom w:val="single" w:color="B8CCE4" w:themeColor="accent1" w:themeTint="66" w:sz="6" w:space="0"/>
              <w:right w:val="single" w:color="B8CCE4" w:themeColor="accent1" w:themeTint="66" w:sz="6" w:space="0"/>
              <w:insideH w:val="single" w:sz="6" w:space="0"/>
              <w:insideV w:val="single" w:sz="6" w:space="0"/>
            </w:tcBorders>
            <w:shd w:val="clear" w:color="auto" w:fill="FFFFFF"/>
            <w:tcMar>
              <w:top w:w="100" w:type="dxa"/>
              <w:left w:w="120" w:type="dxa"/>
              <w:bottom w:w="100" w:type="dxa"/>
              <w:right w:w="120" w:type="dxa"/>
            </w:tcMar>
            <w:vAlign w:val="center"/>
          </w:tcPr>
          <w:p w14:paraId="1D0CFA48">
            <w:pPr>
              <w:jc w:val="center"/>
              <w:rPr>
                <w:b/>
                <w:i w:val="0"/>
              </w:rPr>
            </w:pPr>
            <w:r>
              <w:rPr>
                <w:rFonts w:ascii="宋体" w:hAnsi="宋体" w:eastAsia="宋体"/>
                <w:b/>
                <w:i w:val="0"/>
                <w:color w:val="000000"/>
                <w:sz w:val="21"/>
              </w:rPr>
              <w:t>2</w:t>
            </w:r>
          </w:p>
        </w:tc>
        <w:tc>
          <w:tcPr>
            <w:tcW w:w="2088" w:type="dxa"/>
            <w:tcBorders>
              <w:top w:val="single" w:color="4F81BD" w:themeColor="accent1" w:sz="6" w:space="0"/>
              <w:left w:val="single" w:color="B8CCE4" w:themeColor="accent1" w:themeTint="66" w:sz="6" w:space="0"/>
              <w:bottom w:val="single" w:color="B8CCE4" w:themeColor="accent1" w:themeTint="66" w:sz="6" w:space="0"/>
              <w:right w:val="single" w:color="B8CCE4" w:themeColor="accent1" w:themeTint="66" w:sz="6" w:space="0"/>
              <w:insideH w:val="single" w:sz="6" w:space="0"/>
              <w:insideV w:val="single" w:sz="6" w:space="0"/>
            </w:tcBorders>
            <w:shd w:val="clear" w:color="auto" w:fill="FFFFFF"/>
            <w:tcMar>
              <w:top w:w="100" w:type="dxa"/>
              <w:left w:w="120" w:type="dxa"/>
              <w:bottom w:w="100" w:type="dxa"/>
              <w:right w:w="120" w:type="dxa"/>
            </w:tcMar>
            <w:vAlign w:val="center"/>
          </w:tcPr>
          <w:p w14:paraId="102AC116">
            <w:pPr>
              <w:jc w:val="center"/>
              <w:rPr>
                <w:b/>
                <w:i w:val="0"/>
              </w:rPr>
            </w:pPr>
            <w:r>
              <w:rPr>
                <w:rFonts w:ascii="宋体" w:hAnsi="宋体" w:eastAsia="宋体"/>
                <w:b/>
                <w:i w:val="0"/>
                <w:color w:val="000000"/>
                <w:sz w:val="22"/>
              </w:rPr>
              <w:t>系统架构与运行链路</w:t>
            </w:r>
          </w:p>
        </w:tc>
        <w:tc>
          <w:tcPr>
            <w:tcW w:w="6120" w:type="dxa"/>
            <w:tcBorders>
              <w:top w:val="single" w:color="4F81BD" w:themeColor="accent1" w:sz="6" w:space="0"/>
              <w:left w:val="single" w:color="B8CCE4" w:themeColor="accent1" w:themeTint="66" w:sz="6" w:space="0"/>
              <w:bottom w:val="single" w:color="B8CCE4" w:themeColor="accent1" w:themeTint="66" w:sz="6" w:space="0"/>
              <w:right w:val="single" w:color="4F81BD" w:themeColor="accent1" w:sz="6" w:space="0"/>
              <w:insideH w:val="single" w:sz="6" w:space="0"/>
              <w:insideV w:val="single" w:sz="6" w:space="0"/>
            </w:tcBorders>
            <w:shd w:val="clear" w:color="auto" w:fill="FFFFFF"/>
            <w:tcMar>
              <w:top w:w="100" w:type="dxa"/>
              <w:left w:w="120" w:type="dxa"/>
              <w:bottom w:w="100" w:type="dxa"/>
              <w:right w:w="120" w:type="dxa"/>
            </w:tcMar>
            <w:vAlign w:val="top"/>
          </w:tcPr>
          <w:p w14:paraId="4582A1C2">
            <w:pPr>
              <w:spacing w:before="0" w:after="40" w:line="276" w:lineRule="auto"/>
              <w:ind w:firstLine="420"/>
              <w:jc w:val="both"/>
              <w:rPr>
                <w:b w:val="0"/>
                <w:bCs/>
                <w:i w:val="0"/>
              </w:rPr>
            </w:pPr>
            <w:r>
              <w:rPr>
                <w:rFonts w:ascii="宋体" w:hAnsi="宋体" w:eastAsia="宋体"/>
                <w:b w:val="0"/>
                <w:bCs/>
                <w:i w:val="0"/>
                <w:color w:val="000000"/>
                <w:sz w:val="21"/>
              </w:rPr>
              <w:t>系统采用 React/Vite 前端、FastAPI 路由层、业务服务、RAG 核心、PostgreSQL、向量与图谱存储、Redis 及文件工作区的分层结构。</w:t>
            </w:r>
          </w:p>
          <w:p w14:paraId="2A8DA57F">
            <w:pPr>
              <w:spacing w:before="0" w:after="40" w:line="276" w:lineRule="auto"/>
              <w:ind w:firstLine="420"/>
              <w:jc w:val="both"/>
              <w:rPr>
                <w:b w:val="0"/>
                <w:bCs/>
                <w:i w:val="0"/>
              </w:rPr>
            </w:pPr>
            <w:r>
              <w:rPr>
                <w:rFonts w:ascii="宋体" w:hAnsi="宋体" w:eastAsia="宋体"/>
                <w:b w:val="0"/>
                <w:bCs/>
                <w:i w:val="0"/>
                <w:color w:val="000000"/>
                <w:sz w:val="21"/>
              </w:rPr>
              <w:t>上传接口创建带有 owner、知识库、设置快照和追踪标识的任务；Worker 读取任务快照完成解析、分块、Embedding、图谱写入和就绪状态更新。</w:t>
            </w:r>
          </w:p>
          <w:p w14:paraId="6D7E53D0">
            <w:pPr>
              <w:spacing w:before="0" w:after="40" w:line="276" w:lineRule="auto"/>
              <w:jc w:val="both"/>
              <w:rPr>
                <w:b/>
                <w:i w:val="0"/>
              </w:rPr>
            </w:pPr>
            <w:r>
              <w:rPr>
                <w:rFonts w:ascii="宋体" w:hAnsi="宋体" w:eastAsia="宋体"/>
                <w:b/>
                <w:i w:val="0"/>
                <w:color w:val="0000FF"/>
                <w:sz w:val="21"/>
              </w:rPr>
              <w:t>项目优势：分层架构和任务快照机制使上传配置、处理状态和后续检索参数具有清晰的责任边界，适合多角色协作与问题追踪。</w:t>
            </w:r>
          </w:p>
        </w:tc>
      </w:tr>
      <w:tr w14:paraId="0C874F99">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1BF2E9DB">
            <w:pPr>
              <w:jc w:val="center"/>
            </w:pPr>
            <w:r>
              <w:rPr>
                <w:rFonts w:ascii="宋体" w:hAnsi="宋体" w:eastAsia="宋体"/>
                <w:b w:val="0"/>
                <w:color w:val="000000"/>
                <w:sz w:val="21"/>
              </w:rPr>
              <w:t>3</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380963FB">
            <w:pPr>
              <w:jc w:val="center"/>
            </w:pPr>
            <w:r>
              <w:rPr>
                <w:rFonts w:ascii="宋体" w:hAnsi="宋体" w:eastAsia="宋体"/>
                <w:b/>
                <w:color w:val="000000"/>
                <w:sz w:val="22"/>
              </w:rPr>
              <w:t>知识接入与文档处理</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5C910235">
            <w:pPr>
              <w:spacing w:before="0" w:after="40" w:line="276" w:lineRule="auto"/>
              <w:ind w:firstLine="420"/>
              <w:jc w:val="both"/>
            </w:pPr>
            <w:r>
              <w:rPr>
                <w:rFonts w:ascii="宋体" w:hAnsi="宋体" w:eastAsia="宋体"/>
                <w:b w:val="0"/>
                <w:color w:val="000000"/>
                <w:sz w:val="21"/>
              </w:rPr>
              <w:t>支持 txt、md、pdf、doc、docx、ppt、pptx、xls、xlsx、html、json、csv 以及常见图像格式；Office 文档可转换为 PDF 或 Markdown 后参与索引。</w:t>
            </w:r>
          </w:p>
          <w:p w14:paraId="1B42C432">
            <w:pPr>
              <w:spacing w:before="0" w:after="40" w:line="276" w:lineRule="auto"/>
              <w:ind w:firstLine="420"/>
              <w:jc w:val="both"/>
            </w:pPr>
            <w:r>
              <w:rPr>
                <w:rFonts w:ascii="宋体" w:hAnsi="宋体" w:eastAsia="宋体"/>
                <w:b w:val="0"/>
                <w:color w:val="000000"/>
                <w:sz w:val="21"/>
              </w:rPr>
              <w:t>解析器目录支持 docling 等解析策略，并可按文件类型配置覆盖；图像和表格处理可由对应开关控制。</w:t>
            </w:r>
          </w:p>
          <w:p w14:paraId="4904DA89">
            <w:pPr>
              <w:spacing w:before="0" w:after="40" w:line="276" w:lineRule="auto"/>
              <w:ind w:firstLine="420"/>
              <w:jc w:val="both"/>
            </w:pPr>
            <w:r>
              <w:rPr>
                <w:rFonts w:ascii="宋体" w:hAnsi="宋体" w:eastAsia="宋体"/>
                <w:b w:val="0"/>
                <w:color w:val="000000"/>
                <w:sz w:val="21"/>
              </w:rPr>
              <w:t>分块策略包括 fixed_size、recursive 和 sentence；常用默认目标为 800 token，重叠窗口默认约 100 token，具体值由任务快照固化。</w:t>
            </w:r>
          </w:p>
          <w:p w14:paraId="6E44F602">
            <w:pPr>
              <w:spacing w:before="0" w:after="40" w:line="276" w:lineRule="auto"/>
              <w:jc w:val="both"/>
            </w:pPr>
            <w:r>
              <w:rPr>
                <w:rFonts w:ascii="宋体" w:hAnsi="宋体" w:eastAsia="宋体"/>
                <w:b/>
                <w:color w:val="0000FF"/>
                <w:sz w:val="21"/>
              </w:rPr>
              <w:t>项目优势：平台将文本、表格、图像、公式等内容统一纳入处理链路，并保留每次上传时的解析和分块设置，方便复现实验结果。</w:t>
            </w:r>
          </w:p>
          <w:p w14:paraId="2BF24155">
            <w:pPr>
              <w:spacing w:before="0" w:after="40" w:line="276" w:lineRule="auto"/>
              <w:ind w:firstLine="420"/>
              <w:jc w:val="both"/>
            </w:pPr>
            <w:r>
              <w:rPr>
                <w:rFonts w:ascii="宋体" w:hAnsi="宋体" w:eastAsia="宋体"/>
                <w:b w:val="0"/>
                <w:color w:val="000000"/>
                <w:sz w:val="21"/>
              </w:rPr>
              <w:t>边界说明：上传扩展名白名单和全局错误脱敏仍需按当前安全整改与受控环境证据判断。</w:t>
            </w:r>
          </w:p>
        </w:tc>
      </w:tr>
      <w:tr w14:paraId="13472D57">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6084F1D">
            <w:pPr>
              <w:jc w:val="center"/>
            </w:pPr>
            <w:r>
              <w:rPr>
                <w:rFonts w:ascii="宋体" w:hAnsi="宋体" w:eastAsia="宋体"/>
                <w:b w:val="0"/>
                <w:color w:val="000000"/>
                <w:sz w:val="21"/>
              </w:rPr>
              <w:t>4</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7098ECC">
            <w:pPr>
              <w:jc w:val="center"/>
            </w:pPr>
            <w:r>
              <w:rPr>
                <w:rFonts w:ascii="宋体" w:hAnsi="宋体" w:eastAsia="宋体"/>
                <w:b/>
                <w:color w:val="000000"/>
                <w:sz w:val="22"/>
              </w:rPr>
              <w:t>知识库与内容管理</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2AD579A7">
            <w:pPr>
              <w:spacing w:before="0" w:after="40" w:line="276" w:lineRule="auto"/>
              <w:ind w:firstLine="420"/>
              <w:jc w:val="both"/>
            </w:pPr>
            <w:r>
              <w:rPr>
                <w:rFonts w:ascii="宋体" w:hAnsi="宋体" w:eastAsia="宋体"/>
                <w:b w:val="0"/>
                <w:color w:val="000000"/>
                <w:sz w:val="21"/>
              </w:rPr>
              <w:t>支持知识库创建、列表、切换、元数据更新和删除，并按角色能力控制写入、管理和删除操作。</w:t>
            </w:r>
          </w:p>
          <w:p w14:paraId="55B90DE9">
            <w:pPr>
              <w:spacing w:before="0" w:after="40" w:line="276" w:lineRule="auto"/>
              <w:ind w:firstLine="420"/>
              <w:jc w:val="both"/>
            </w:pPr>
            <w:r>
              <w:rPr>
                <w:rFonts w:ascii="宋体" w:hAnsi="宋体" w:eastAsia="宋体"/>
                <w:b w:val="0"/>
                <w:color w:val="000000"/>
                <w:sz w:val="21"/>
              </w:rPr>
              <w:t>支持文档列表、摘要分页、下载、删除、批量删除、失败重试和检索修复；支持分块分页查看、搜索、编辑和标签更新。</w:t>
            </w:r>
          </w:p>
          <w:p w14:paraId="72B5E0CD">
            <w:pPr>
              <w:spacing w:before="0" w:after="40" w:line="276" w:lineRule="auto"/>
              <w:ind w:firstLine="420"/>
              <w:jc w:val="both"/>
            </w:pPr>
            <w:r>
              <w:rPr>
                <w:rFonts w:ascii="宋体" w:hAnsi="宋体" w:eastAsia="宋体"/>
                <w:b w:val="0"/>
                <w:color w:val="000000"/>
                <w:sz w:val="21"/>
              </w:rPr>
              <w:t>图谱数据包含实体、关系、属性及关联 chunk，可通过接口和前端进行节点、边及实体查询。</w:t>
            </w:r>
          </w:p>
          <w:p w14:paraId="4F8A0F72">
            <w:pPr>
              <w:spacing w:before="0" w:after="40" w:line="276" w:lineRule="auto"/>
              <w:jc w:val="both"/>
            </w:pPr>
            <w:r>
              <w:rPr>
                <w:rFonts w:ascii="宋体" w:hAnsi="宋体" w:eastAsia="宋体"/>
                <w:b/>
                <w:color w:val="0000FF"/>
                <w:sz w:val="21"/>
              </w:rPr>
              <w:t>项目优势：知识库、文档、分块和标签形成可维护的内容生命周期，既支持大批量资料管理，也保留针对单个文档的修复入口。</w:t>
            </w:r>
          </w:p>
        </w:tc>
      </w:tr>
      <w:tr w14:paraId="34E58F9F">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0C84065D">
            <w:pPr>
              <w:jc w:val="center"/>
            </w:pPr>
            <w:r>
              <w:rPr>
                <w:rFonts w:ascii="宋体" w:hAnsi="宋体" w:eastAsia="宋体"/>
                <w:b w:val="0"/>
                <w:color w:val="000000"/>
                <w:sz w:val="21"/>
              </w:rPr>
              <w:t>5</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24BBFFE4">
            <w:pPr>
              <w:jc w:val="center"/>
            </w:pPr>
            <w:r>
              <w:rPr>
                <w:rFonts w:ascii="宋体" w:hAnsi="宋体" w:eastAsia="宋体"/>
                <w:b/>
                <w:color w:val="000000"/>
                <w:sz w:val="22"/>
              </w:rPr>
              <w:t>混合检索与智能体问答</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5EE37B20">
            <w:pPr>
              <w:spacing w:before="0" w:after="40" w:line="276" w:lineRule="auto"/>
              <w:ind w:firstLine="420"/>
              <w:jc w:val="both"/>
            </w:pPr>
            <w:r>
              <w:rPr>
                <w:rFonts w:ascii="宋体" w:hAnsi="宋体" w:eastAsia="宋体"/>
                <w:b w:val="0"/>
                <w:color w:val="000000"/>
                <w:sz w:val="21"/>
              </w:rPr>
              <w:t>检索支持 BM25、向量和图谱三路通道，并通过 Reciprocal Rank Fusion 融合结果；常用 RRF_K 默认值为 60。</w:t>
            </w:r>
          </w:p>
          <w:p w14:paraId="6DBAB64D">
            <w:pPr>
              <w:spacing w:before="0" w:after="40" w:line="276" w:lineRule="auto"/>
              <w:ind w:firstLine="420"/>
              <w:jc w:val="both"/>
            </w:pPr>
            <w:r>
              <w:rPr>
                <w:rFonts w:ascii="宋体" w:hAnsi="宋体" w:eastAsia="宋体"/>
                <w:b w:val="0"/>
                <w:color w:val="000000"/>
                <w:sz w:val="21"/>
              </w:rPr>
              <w:t>支持 balanced、precise、broad 等预置检索模式，并可配置 retrieval_top_k、chunk_top_k、重排和通道裁剪。</w:t>
            </w:r>
          </w:p>
          <w:p w14:paraId="2B81EF64">
            <w:pPr>
              <w:spacing w:before="0" w:after="40" w:line="276" w:lineRule="auto"/>
              <w:ind w:firstLine="420"/>
              <w:jc w:val="both"/>
            </w:pPr>
            <w:r>
              <w:rPr>
                <w:rFonts w:ascii="宋体" w:hAnsi="宋体" w:eastAsia="宋体"/>
                <w:b w:val="0"/>
                <w:color w:val="000000"/>
                <w:sz w:val="21"/>
              </w:rPr>
              <w:t>Agent SSE 支持 accepted、检索状态、增量 token、引用和完成等事件；会话和关键状态写入 PostgreSQL。</w:t>
            </w:r>
          </w:p>
          <w:p w14:paraId="0F343485">
            <w:pPr>
              <w:spacing w:before="0" w:after="40" w:line="276" w:lineRule="auto"/>
              <w:jc w:val="both"/>
            </w:pPr>
            <w:r>
              <w:rPr>
                <w:rFonts w:ascii="宋体" w:hAnsi="宋体" w:eastAsia="宋体"/>
                <w:b/>
                <w:color w:val="0000FF"/>
                <w:sz w:val="21"/>
              </w:rPr>
              <w:t>项目优势：混合检索将关键词、语义向量和知识图谱互补结合，并通过流式回答与引用回溯提升问答的可解释性和交互效率。</w:t>
            </w:r>
          </w:p>
          <w:p w14:paraId="0CFCD84A">
            <w:pPr>
              <w:spacing w:before="0" w:after="40" w:line="276" w:lineRule="auto"/>
              <w:ind w:firstLine="420"/>
              <w:jc w:val="both"/>
            </w:pPr>
            <w:r>
              <w:rPr>
                <w:rFonts w:ascii="宋体" w:hAnsi="宋体" w:eastAsia="宋体"/>
                <w:b w:val="0"/>
                <w:color w:val="000000"/>
                <w:sz w:val="21"/>
              </w:rPr>
              <w:t>真实 LLM、Embedding、VLM、ASR 的可达性、配额和延迟受部署环境影响，需要单独的真实账号和 Worker 验收。</w:t>
            </w:r>
          </w:p>
        </w:tc>
      </w:tr>
      <w:tr w14:paraId="015E374B">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0306A70B">
            <w:pPr>
              <w:jc w:val="center"/>
            </w:pPr>
            <w:r>
              <w:rPr>
                <w:rFonts w:ascii="宋体" w:hAnsi="宋体" w:eastAsia="宋体"/>
                <w:b w:val="0"/>
                <w:color w:val="000000"/>
                <w:sz w:val="21"/>
              </w:rPr>
              <w:t>6</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5260DE94">
            <w:pPr>
              <w:jc w:val="center"/>
            </w:pPr>
            <w:r>
              <w:rPr>
                <w:rFonts w:ascii="宋体" w:hAnsi="宋体" w:eastAsia="宋体"/>
                <w:b/>
                <w:color w:val="000000"/>
                <w:sz w:val="22"/>
              </w:rPr>
              <w:t>用户角色与安全控制</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379269F4">
            <w:pPr>
              <w:spacing w:before="0" w:after="40" w:line="276" w:lineRule="auto"/>
              <w:ind w:firstLine="420"/>
              <w:jc w:val="both"/>
            </w:pPr>
            <w:r>
              <w:rPr>
                <w:rFonts w:ascii="宋体" w:hAnsi="宋体" w:eastAsia="宋体"/>
                <w:b w:val="0"/>
                <w:color w:val="000000"/>
                <w:sz w:val="21"/>
              </w:rPr>
              <w:t>系统采用五级 RBAC：super_admin、dept_admin、teacher、assistant、student；权限以 resource:action 形式表达。</w:t>
            </w:r>
          </w:p>
          <w:p w14:paraId="2FD44A28">
            <w:pPr>
              <w:spacing w:before="0" w:after="40" w:line="276" w:lineRule="auto"/>
              <w:ind w:firstLine="420"/>
              <w:jc w:val="both"/>
            </w:pPr>
            <w:r>
              <w:rPr>
                <w:rFonts w:ascii="宋体" w:hAnsi="宋体" w:eastAsia="宋体"/>
                <w:b w:val="0"/>
                <w:color w:val="000000"/>
                <w:sz w:val="21"/>
              </w:rPr>
              <w:t>受保护接口统一通过 require_permission() 和当前持久角色校验；前端隐藏仅是体验层，不能替代后端授权。</w:t>
            </w:r>
          </w:p>
          <w:p w14:paraId="2612AC09">
            <w:pPr>
              <w:spacing w:before="0" w:after="40" w:line="276" w:lineRule="auto"/>
              <w:ind w:firstLine="420"/>
              <w:jc w:val="both"/>
            </w:pPr>
            <w:r>
              <w:rPr>
                <w:rFonts w:ascii="宋体" w:hAnsi="宋体" w:eastAsia="宋体"/>
                <w:b w:val="0"/>
                <w:color w:val="000000"/>
                <w:sz w:val="21"/>
              </w:rPr>
              <w:t>认证、角色、Token 撤销、审计和会话代际信息由 PostgreSQL 负责持久化；WebSocket 会复核撤销状态和 session generation。</w:t>
            </w:r>
          </w:p>
          <w:p w14:paraId="036680FB">
            <w:pPr>
              <w:spacing w:before="0" w:after="40" w:line="276" w:lineRule="auto"/>
              <w:jc w:val="both"/>
            </w:pPr>
            <w:r>
              <w:rPr>
                <w:rFonts w:ascii="宋体" w:hAnsi="宋体" w:eastAsia="宋体"/>
                <w:b/>
                <w:color w:val="0000FF"/>
                <w:sz w:val="21"/>
              </w:rPr>
              <w:t>项目优势：权限控制、Token 撤销、审计和会话复核在后端形成闭环，能够覆盖管理员、教师、助理和学生等不同使用边界。</w:t>
            </w:r>
          </w:p>
        </w:tc>
      </w:tr>
      <w:tr w14:paraId="5579D2C7">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70BE2D8D">
            <w:pPr>
              <w:jc w:val="center"/>
            </w:pPr>
            <w:r>
              <w:rPr>
                <w:rFonts w:ascii="宋体" w:hAnsi="宋体" w:eastAsia="宋体"/>
                <w:b w:val="0"/>
                <w:color w:val="000000"/>
                <w:sz w:val="21"/>
              </w:rPr>
              <w:t>7</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BF63EB4">
            <w:pPr>
              <w:jc w:val="center"/>
            </w:pPr>
            <w:r>
              <w:rPr>
                <w:rFonts w:ascii="宋体" w:hAnsi="宋体" w:eastAsia="宋体"/>
                <w:b/>
                <w:color w:val="000000"/>
                <w:sz w:val="22"/>
              </w:rPr>
              <w:t>个人平台设置与配置治理</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2BB98EA3">
            <w:pPr>
              <w:spacing w:before="0" w:after="40" w:line="276" w:lineRule="auto"/>
              <w:ind w:firstLine="420"/>
              <w:jc w:val="both"/>
            </w:pPr>
            <w:r>
              <w:rPr>
                <w:rFonts w:ascii="宋体" w:hAnsi="宋体" w:eastAsia="宋体"/>
                <w:b w:val="0"/>
                <w:color w:val="000000"/>
                <w:sz w:val="21"/>
              </w:rPr>
              <w:t>设置按平台默认、个人设置、知识库资源设置及请求或任务覆盖进行合并，新上传任务固化合并后的解析、分块、模型和检索快照。</w:t>
            </w:r>
          </w:p>
          <w:p w14:paraId="261FEFCB">
            <w:pPr>
              <w:spacing w:before="0" w:after="40" w:line="276" w:lineRule="auto"/>
              <w:ind w:firstLine="420"/>
              <w:jc w:val="both"/>
            </w:pPr>
            <w:r>
              <w:rPr>
                <w:rFonts w:ascii="宋体" w:hAnsi="宋体" w:eastAsia="宋体"/>
                <w:b w:val="0"/>
                <w:color w:val="000000"/>
                <w:sz w:val="21"/>
              </w:rPr>
              <w:t>设置更新带 revision 和 fingerprint，并使用 expected_revision 检测并发冲突，冲突时返回 409。</w:t>
            </w:r>
          </w:p>
          <w:p w14:paraId="02DB95D1">
            <w:pPr>
              <w:spacing w:before="0" w:after="40" w:line="276" w:lineRule="auto"/>
              <w:jc w:val="both"/>
            </w:pPr>
            <w:r>
              <w:rPr>
                <w:rFonts w:ascii="宋体" w:hAnsi="宋体" w:eastAsia="宋体"/>
                <w:b/>
                <w:color w:val="0000FF"/>
                <w:sz w:val="21"/>
              </w:rPr>
              <w:t>项目优势：设置优先级和版本校验兼顾统一治理与个性化使用，既能保留个人默认值，也能避免并发修改互相覆盖。</w:t>
            </w:r>
          </w:p>
        </w:tc>
      </w:tr>
      <w:tr w14:paraId="53FB626C">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40D80538">
            <w:pPr>
              <w:jc w:val="center"/>
            </w:pPr>
            <w:r>
              <w:rPr>
                <w:rFonts w:ascii="宋体" w:hAnsi="宋体" w:eastAsia="宋体"/>
                <w:b w:val="0"/>
                <w:color w:val="000000"/>
                <w:sz w:val="21"/>
              </w:rPr>
              <w:t>8</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6730F96E">
            <w:pPr>
              <w:jc w:val="center"/>
            </w:pPr>
            <w:r>
              <w:rPr>
                <w:rFonts w:ascii="宋体" w:hAnsi="宋体" w:eastAsia="宋体"/>
                <w:b/>
                <w:color w:val="000000"/>
                <w:sz w:val="22"/>
              </w:rPr>
              <w:t>部署存储与运维参数</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7A88DABB">
            <w:pPr>
              <w:spacing w:before="0" w:after="40" w:line="276" w:lineRule="auto"/>
              <w:ind w:firstLine="420"/>
              <w:jc w:val="both"/>
            </w:pPr>
            <w:r>
              <w:rPr>
                <w:rFonts w:ascii="宋体" w:hAnsi="宋体" w:eastAsia="宋体"/>
                <w:b w:val="0"/>
                <w:color w:val="000000"/>
                <w:sz w:val="21"/>
              </w:rPr>
              <w:t>部署由 app、postgres、redis、migrate、marker 和 nginx 等服务组成；应用通过内部网络运行，Nginx 提供外部入口。</w:t>
            </w:r>
          </w:p>
          <w:p w14:paraId="3A612F50">
            <w:pPr>
              <w:spacing w:before="0" w:after="40" w:line="276" w:lineRule="auto"/>
              <w:ind w:firstLine="420"/>
              <w:jc w:val="both"/>
            </w:pPr>
            <w:r>
              <w:rPr>
                <w:rFonts w:ascii="宋体" w:hAnsi="宋体" w:eastAsia="宋体"/>
                <w:b w:val="0"/>
                <w:color w:val="000000"/>
                <w:sz w:val="21"/>
              </w:rPr>
              <w:t>健康检查区分 /api/live 和 /api/ready：前者检查进程存活，后者检查依赖可用性；Prometheus 指标和脱敏监控通道用于运行观察。</w:t>
            </w:r>
          </w:p>
          <w:p w14:paraId="1820B855">
            <w:pPr>
              <w:spacing w:before="0" w:after="40" w:line="276" w:lineRule="auto"/>
              <w:ind w:firstLine="420"/>
              <w:jc w:val="both"/>
            </w:pPr>
            <w:r>
              <w:rPr>
                <w:rFonts w:ascii="宋体" w:hAnsi="宋体" w:eastAsia="宋体"/>
                <w:b w:val="0"/>
                <w:color w:val="000000"/>
                <w:sz w:val="21"/>
              </w:rPr>
              <w:t>PostgreSQL 是认证、共享状态、迁移历史和业务仓库的权威后端；生产迁移前必须先完成可恢复备份确认并设置 MIGRATION_BACKUP_ACKNOWLEDGED=true。</w:t>
            </w:r>
          </w:p>
          <w:p w14:paraId="3BC3AA9E">
            <w:pPr>
              <w:spacing w:before="0" w:after="40" w:line="276" w:lineRule="auto"/>
              <w:jc w:val="both"/>
            </w:pPr>
            <w:r>
              <w:rPr>
                <w:rFonts w:ascii="宋体" w:hAnsi="宋体" w:eastAsia="宋体"/>
                <w:b/>
                <w:color w:val="0000FF"/>
                <w:sz w:val="21"/>
              </w:rPr>
              <w:t>项目优势：运行状态、迁移和备份门禁具有明确的运维边界，便于在隔离环境中进行可重复验证并降低生产变更风险。</w:t>
            </w:r>
          </w:p>
          <w:p w14:paraId="0A6F5695">
            <w:pPr>
              <w:spacing w:before="0" w:after="40" w:line="276" w:lineRule="auto"/>
              <w:ind w:firstLine="420"/>
              <w:jc w:val="both"/>
            </w:pPr>
            <w:r>
              <w:rPr>
                <w:rFonts w:ascii="宋体" w:hAnsi="宋体" w:eastAsia="宋体"/>
                <w:b w:val="0"/>
                <w:color w:val="000000"/>
                <w:sz w:val="21"/>
              </w:rPr>
              <w:t>生产部署、生产迁移、真实 Provider 容量和外部告警演练仍需对应环境批准与验收证据。</w:t>
            </w:r>
          </w:p>
        </w:tc>
      </w:tr>
      <w:tr w14:paraId="52E820CA">
        <w:tblPrEx>
          <w:tblCellMar>
            <w:top w:w="0" w:type="dxa"/>
            <w:left w:w="108" w:type="dxa"/>
            <w:bottom w:w="0" w:type="dxa"/>
            <w:right w:w="108" w:type="dxa"/>
          </w:tblCellMar>
        </w:tblPrEx>
        <w:trPr>
          <w:jc w:val="center"/>
        </w:trPr>
        <w:tc>
          <w:tcPr>
            <w:tcW w:w="7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2B75E5B4">
            <w:pPr>
              <w:jc w:val="center"/>
            </w:pPr>
            <w:r>
              <w:rPr>
                <w:rFonts w:ascii="宋体" w:hAnsi="宋体" w:eastAsia="宋体"/>
                <w:b w:val="0"/>
                <w:color w:val="000000"/>
                <w:sz w:val="21"/>
              </w:rPr>
              <w:t>9</w:t>
            </w:r>
          </w:p>
        </w:tc>
        <w:tc>
          <w:tcPr>
            <w:tcW w:w="208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center"/>
          </w:tcPr>
          <w:p w14:paraId="02FA500D">
            <w:pPr>
              <w:jc w:val="center"/>
            </w:pPr>
            <w:r>
              <w:rPr>
                <w:rFonts w:ascii="宋体" w:hAnsi="宋体" w:eastAsia="宋体"/>
                <w:b/>
                <w:color w:val="000000"/>
                <w:sz w:val="22"/>
              </w:rPr>
              <w:t>前端交互与领域应用</w:t>
            </w:r>
          </w:p>
        </w:tc>
        <w:tc>
          <w:tcPr>
            <w:tcW w:w="61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00" w:type="dxa"/>
              <w:left w:w="120" w:type="dxa"/>
              <w:bottom w:w="100" w:type="dxa"/>
              <w:right w:w="120" w:type="dxa"/>
            </w:tcMar>
            <w:vAlign w:val="top"/>
          </w:tcPr>
          <w:p w14:paraId="07DC9E62">
            <w:pPr>
              <w:spacing w:before="0" w:after="40" w:line="276" w:lineRule="auto"/>
              <w:ind w:firstLine="420"/>
              <w:jc w:val="both"/>
            </w:pPr>
            <w:r>
              <w:rPr>
                <w:rFonts w:ascii="宋体" w:hAnsi="宋体" w:eastAsia="宋体"/>
                <w:b w:val="0"/>
                <w:color w:val="000000"/>
                <w:sz w:val="21"/>
              </w:rPr>
              <w:t>前端提供知识库、文档、分块、标签、检索、智能体、会话、设置和管理员等页面，并通过 SSE/WS 展示任务和回答状态。</w:t>
            </w:r>
          </w:p>
          <w:p w14:paraId="453D4F55">
            <w:pPr>
              <w:spacing w:before="0" w:after="40" w:line="276" w:lineRule="auto"/>
              <w:ind w:firstLine="420"/>
              <w:jc w:val="both"/>
            </w:pPr>
            <w:r>
              <w:rPr>
                <w:rFonts w:ascii="宋体" w:hAnsi="宋体" w:eastAsia="宋体"/>
                <w:b w:val="0"/>
                <w:color w:val="000000"/>
                <w:sz w:val="21"/>
              </w:rPr>
              <w:t>媒体内容通过受控端点访问，浏览器不接收本地路径、模型目录、密钥或未授权任务事件。</w:t>
            </w:r>
          </w:p>
          <w:p w14:paraId="6208A76D">
            <w:pPr>
              <w:spacing w:before="0" w:after="40" w:line="276" w:lineRule="auto"/>
              <w:ind w:firstLine="420"/>
              <w:jc w:val="both"/>
            </w:pPr>
            <w:r>
              <w:rPr>
                <w:rFonts w:ascii="宋体" w:hAnsi="宋体" w:eastAsia="宋体"/>
                <w:b w:val="0"/>
                <w:color w:val="000000"/>
                <w:sz w:val="21"/>
              </w:rPr>
              <w:t>平台已具备视觉、视频语义段和汽车维修等领域扩展接口；相关完整链路需结合具体模型和受控数据继续验收。</w:t>
            </w:r>
          </w:p>
          <w:p w14:paraId="342F2A25">
            <w:pPr>
              <w:spacing w:before="0" w:after="40" w:line="276" w:lineRule="auto"/>
              <w:jc w:val="both"/>
            </w:pPr>
            <w:r>
              <w:rPr>
                <w:rFonts w:ascii="宋体" w:hAnsi="宋体" w:eastAsia="宋体"/>
                <w:b/>
                <w:color w:val="0000FF"/>
                <w:sz w:val="21"/>
              </w:rPr>
              <w:t>项目优势：同一平台既支持通用知识库问答，又能承载视觉、视频和行业应用扩展，便于按专业场景逐步建设能力。</w:t>
            </w:r>
          </w:p>
        </w:tc>
      </w:tr>
    </w:tbl>
    <w:p w14:paraId="6210E50E"/>
    <w:sectPr>
      <w:pgSz w:w="12240" w:h="15840"/>
      <w:pgMar w:top="1440" w:right="1800" w:bottom="1440" w:left="1800" w:header="850" w:footer="994"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C35F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1867</Words>
  <Characters>2401</Characters>
  <Lines>0</Lines>
  <Paragraphs>0</Paragraphs>
  <TotalTime>5</TotalTime>
  <ScaleCrop>false</ScaleCrop>
  <LinksUpToDate>false</LinksUpToDate>
  <CharactersWithSpaces>2482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RAG-Anything Project</dc:creator>
  <dc:description>generated by python-docx</dc:description>
  <cp:lastModifiedBy>RAG-Anything Project</cp:lastModifiedBy>
  <dcterms:modified xsi:type="dcterms:W3CDTF">2026-09-04T13:48:26Z</dcterms:modified>
  <cp:revision>1</cp:revision>
</cp:coreProperties>
</file>