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A237C" w:rsidRDefault="00527CB9">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Giresun ilinin arkeolojik ve </w:t>
      </w:r>
      <w:proofErr w:type="spellStart"/>
      <w:r>
        <w:rPr>
          <w:rFonts w:ascii="Arial" w:hAnsi="Arial" w:cs="Arial"/>
          <w:color w:val="676767"/>
          <w:sz w:val="23"/>
          <w:szCs w:val="23"/>
          <w:shd w:val="clear" w:color="auto" w:fill="FFFFFF"/>
        </w:rPr>
        <w:t>etnografik</w:t>
      </w:r>
      <w:proofErr w:type="spellEnd"/>
      <w:r>
        <w:rPr>
          <w:rFonts w:ascii="Arial" w:hAnsi="Arial" w:cs="Arial"/>
          <w:color w:val="676767"/>
          <w:sz w:val="23"/>
          <w:szCs w:val="23"/>
          <w:shd w:val="clear" w:color="auto" w:fill="FFFFFF"/>
        </w:rPr>
        <w:t xml:space="preserve"> eserlerinin bir araya getirildiği Giresun Müzesi, kalenin doğu eteğinde yer almaktadır. Günümüzde müze olarak kullanılan </w:t>
      </w:r>
      <w:proofErr w:type="spellStart"/>
      <w:r>
        <w:rPr>
          <w:rFonts w:ascii="Arial" w:hAnsi="Arial" w:cs="Arial"/>
          <w:color w:val="676767"/>
          <w:sz w:val="23"/>
          <w:szCs w:val="23"/>
          <w:shd w:val="clear" w:color="auto" w:fill="FFFFFF"/>
        </w:rPr>
        <w:t>Gogora</w:t>
      </w:r>
      <w:proofErr w:type="spellEnd"/>
      <w:r>
        <w:rPr>
          <w:rFonts w:ascii="Arial" w:hAnsi="Arial" w:cs="Arial"/>
          <w:color w:val="676767"/>
          <w:sz w:val="23"/>
          <w:szCs w:val="23"/>
          <w:shd w:val="clear" w:color="auto" w:fill="FFFFFF"/>
        </w:rPr>
        <w:t xml:space="preserve"> Kilisesi, 18. yüzyılda yerel Rum halk tarafından yaptırılmıştır. 1923 yılına kadar kilise işlevini sürdüren yapı, 1948-1967 yılları arasında hapishane olarak kullanılmış ve daha sonra restore edilmiştir. Yapı, 1988 yılında müze olarak hizmet vermeye başlamıştır. Yapı, yığma yapım sistemiyle inşa edilmiş olup inşasında kesme taş kullanılmıştır. Doğu batı doğrultusunda dikdörtgen planlı olan yapı etrafı duvarlarla çevrili bir bahçe içerisinde yer almaktadır. Yapının dıştan üst örtüsü alaturka kiremit örtülüdür. Yapının ana girişi batı cephesinde bulunmaktadır. Kuzey ve güney cephelerinde de girişleri bulunmaktadır. Ana kapının iki yanında kabartma sütun </w:t>
      </w:r>
      <w:proofErr w:type="gramStart"/>
      <w:r>
        <w:rPr>
          <w:rFonts w:ascii="Arial" w:hAnsi="Arial" w:cs="Arial"/>
          <w:color w:val="676767"/>
          <w:sz w:val="23"/>
          <w:szCs w:val="23"/>
          <w:shd w:val="clear" w:color="auto" w:fill="FFFFFF"/>
        </w:rPr>
        <w:t>profili</w:t>
      </w:r>
      <w:proofErr w:type="gramEnd"/>
      <w:r>
        <w:rPr>
          <w:rFonts w:ascii="Arial" w:hAnsi="Arial" w:cs="Arial"/>
          <w:color w:val="676767"/>
          <w:sz w:val="23"/>
          <w:szCs w:val="23"/>
          <w:shd w:val="clear" w:color="auto" w:fill="FFFFFF"/>
        </w:rPr>
        <w:t xml:space="preserve"> yer almaktadır. Alınlık bölümü ise burma </w:t>
      </w:r>
      <w:proofErr w:type="spellStart"/>
      <w:r>
        <w:rPr>
          <w:rFonts w:ascii="Arial" w:hAnsi="Arial" w:cs="Arial"/>
          <w:color w:val="676767"/>
          <w:sz w:val="23"/>
          <w:szCs w:val="23"/>
          <w:shd w:val="clear" w:color="auto" w:fill="FFFFFF"/>
        </w:rPr>
        <w:t>sütunçe</w:t>
      </w:r>
      <w:proofErr w:type="spellEnd"/>
      <w:r>
        <w:rPr>
          <w:rFonts w:ascii="Arial" w:hAnsi="Arial" w:cs="Arial"/>
          <w:color w:val="676767"/>
          <w:sz w:val="23"/>
          <w:szCs w:val="23"/>
          <w:shd w:val="clear" w:color="auto" w:fill="FFFFFF"/>
        </w:rPr>
        <w:t xml:space="preserve"> ile bezenmiştir. Kapının çevresi çift sıra dikdörtgen ve saç örgüsü motiflerle çevrelenmiştir. Yapının diğer iki kapısında ikiz sütun ve </w:t>
      </w:r>
      <w:proofErr w:type="spellStart"/>
      <w:r>
        <w:rPr>
          <w:rFonts w:ascii="Arial" w:hAnsi="Arial" w:cs="Arial"/>
          <w:color w:val="676767"/>
          <w:sz w:val="23"/>
          <w:szCs w:val="23"/>
          <w:shd w:val="clear" w:color="auto" w:fill="FFFFFF"/>
        </w:rPr>
        <w:t>sütunçeler</w:t>
      </w:r>
      <w:proofErr w:type="spellEnd"/>
      <w:r>
        <w:rPr>
          <w:rFonts w:ascii="Arial" w:hAnsi="Arial" w:cs="Arial"/>
          <w:color w:val="676767"/>
          <w:sz w:val="23"/>
          <w:szCs w:val="23"/>
          <w:shd w:val="clear" w:color="auto" w:fill="FFFFFF"/>
        </w:rPr>
        <w:t xml:space="preserve"> kullanılmıştır. Kuzey kapısında “S” kıvrımlı sahte kemer uçları ile diş kesimi süslemeler dikkat çeker. Güney kapısında süsleme öğesi olarak burç motifi görülmektedir. Kilisenin </w:t>
      </w:r>
      <w:proofErr w:type="spellStart"/>
      <w:r>
        <w:rPr>
          <w:rFonts w:ascii="Arial" w:hAnsi="Arial" w:cs="Arial"/>
          <w:color w:val="676767"/>
          <w:sz w:val="23"/>
          <w:szCs w:val="23"/>
          <w:shd w:val="clear" w:color="auto" w:fill="FFFFFF"/>
        </w:rPr>
        <w:t>naos</w:t>
      </w:r>
      <w:proofErr w:type="spellEnd"/>
      <w:r>
        <w:rPr>
          <w:rFonts w:ascii="Arial" w:hAnsi="Arial" w:cs="Arial"/>
          <w:color w:val="676767"/>
          <w:sz w:val="23"/>
          <w:szCs w:val="23"/>
          <w:shd w:val="clear" w:color="auto" w:fill="FFFFFF"/>
        </w:rPr>
        <w:t xml:space="preserve"> bölümü iki sıra sütun ile üç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ayrılmış olup orta </w:t>
      </w:r>
      <w:proofErr w:type="spellStart"/>
      <w:r>
        <w:rPr>
          <w:rFonts w:ascii="Arial" w:hAnsi="Arial" w:cs="Arial"/>
          <w:color w:val="676767"/>
          <w:sz w:val="23"/>
          <w:szCs w:val="23"/>
          <w:shd w:val="clear" w:color="auto" w:fill="FFFFFF"/>
        </w:rPr>
        <w:t>nef</w:t>
      </w:r>
      <w:proofErr w:type="spellEnd"/>
      <w:r>
        <w:rPr>
          <w:rFonts w:ascii="Arial" w:hAnsi="Arial" w:cs="Arial"/>
          <w:color w:val="676767"/>
          <w:sz w:val="23"/>
          <w:szCs w:val="23"/>
          <w:shd w:val="clear" w:color="auto" w:fill="FFFFFF"/>
        </w:rPr>
        <w:t xml:space="preserve"> yan </w:t>
      </w:r>
      <w:proofErr w:type="spellStart"/>
      <w:r>
        <w:rPr>
          <w:rFonts w:ascii="Arial" w:hAnsi="Arial" w:cs="Arial"/>
          <w:color w:val="676767"/>
          <w:sz w:val="23"/>
          <w:szCs w:val="23"/>
          <w:shd w:val="clear" w:color="auto" w:fill="FFFFFF"/>
        </w:rPr>
        <w:t>neflere</w:t>
      </w:r>
      <w:proofErr w:type="spellEnd"/>
      <w:r>
        <w:rPr>
          <w:rFonts w:ascii="Arial" w:hAnsi="Arial" w:cs="Arial"/>
          <w:color w:val="676767"/>
          <w:sz w:val="23"/>
          <w:szCs w:val="23"/>
          <w:shd w:val="clear" w:color="auto" w:fill="FFFFFF"/>
        </w:rPr>
        <w:t xml:space="preserve"> göre daha geniştir. Sütunlar İyon </w:t>
      </w:r>
      <w:proofErr w:type="spellStart"/>
      <w:r>
        <w:rPr>
          <w:rFonts w:ascii="Arial" w:hAnsi="Arial" w:cs="Arial"/>
          <w:color w:val="676767"/>
          <w:sz w:val="23"/>
          <w:szCs w:val="23"/>
          <w:shd w:val="clear" w:color="auto" w:fill="FFFFFF"/>
        </w:rPr>
        <w:t>başlılıdır</w:t>
      </w:r>
      <w:proofErr w:type="spellEnd"/>
      <w:r>
        <w:rPr>
          <w:rFonts w:ascii="Arial" w:hAnsi="Arial" w:cs="Arial"/>
          <w:color w:val="676767"/>
          <w:sz w:val="23"/>
          <w:szCs w:val="23"/>
          <w:shd w:val="clear" w:color="auto" w:fill="FFFFFF"/>
        </w:rPr>
        <w:t xml:space="preserve">. </w:t>
      </w:r>
      <w:proofErr w:type="spellStart"/>
      <w:r>
        <w:rPr>
          <w:rFonts w:ascii="Arial" w:hAnsi="Arial" w:cs="Arial"/>
          <w:color w:val="676767"/>
          <w:sz w:val="23"/>
          <w:szCs w:val="23"/>
          <w:shd w:val="clear" w:color="auto" w:fill="FFFFFF"/>
        </w:rPr>
        <w:t>Neflerin</w:t>
      </w:r>
      <w:proofErr w:type="spellEnd"/>
      <w:r>
        <w:rPr>
          <w:rFonts w:ascii="Arial" w:hAnsi="Arial" w:cs="Arial"/>
          <w:color w:val="676767"/>
          <w:sz w:val="23"/>
          <w:szCs w:val="23"/>
          <w:shd w:val="clear" w:color="auto" w:fill="FFFFFF"/>
        </w:rPr>
        <w:t xml:space="preserve"> içten üst örtüsü tonozdur. Üçlü apsisi bulunan yapının orta </w:t>
      </w:r>
      <w:proofErr w:type="spellStart"/>
      <w:r>
        <w:rPr>
          <w:rFonts w:ascii="Arial" w:hAnsi="Arial" w:cs="Arial"/>
          <w:color w:val="676767"/>
          <w:sz w:val="23"/>
          <w:szCs w:val="23"/>
          <w:shd w:val="clear" w:color="auto" w:fill="FFFFFF"/>
        </w:rPr>
        <w:t>nefe</w:t>
      </w:r>
      <w:proofErr w:type="spellEnd"/>
      <w:r>
        <w:rPr>
          <w:rFonts w:ascii="Arial" w:hAnsi="Arial" w:cs="Arial"/>
          <w:color w:val="676767"/>
          <w:sz w:val="23"/>
          <w:szCs w:val="23"/>
          <w:shd w:val="clear" w:color="auto" w:fill="FFFFFF"/>
        </w:rPr>
        <w:t xml:space="preserve"> karşılık gelen orta apsisi daha geniş ve yüksektir. Tam ortada yüksek kasnaklı merkezi kubbe bulunmaktadır. Kubbede 12 adet pencere yer almaktadır. Kubbe içinde, merkeze doğru uzanan dört sütun ve tam ortada İsa tasviri yer almaktadır. Yapının tüm cephelerinde üçer adet dikdörtgen pencere açıklığı bulunmaktadır. Giresun Müzesi’nde, Eski Tunç Çağı, Hitit, </w:t>
      </w:r>
      <w:proofErr w:type="spellStart"/>
      <w:r>
        <w:rPr>
          <w:rFonts w:ascii="Arial" w:hAnsi="Arial" w:cs="Arial"/>
          <w:color w:val="676767"/>
          <w:sz w:val="23"/>
          <w:szCs w:val="23"/>
          <w:shd w:val="clear" w:color="auto" w:fill="FFFFFF"/>
        </w:rPr>
        <w:t>Helensitik</w:t>
      </w:r>
      <w:proofErr w:type="spellEnd"/>
      <w:r>
        <w:rPr>
          <w:rFonts w:ascii="Arial" w:hAnsi="Arial" w:cs="Arial"/>
          <w:color w:val="676767"/>
          <w:sz w:val="23"/>
          <w:szCs w:val="23"/>
          <w:shd w:val="clear" w:color="auto" w:fill="FFFFFF"/>
        </w:rPr>
        <w:t xml:space="preserve">, Roma, Bizans, Selçuklu ve Osmanlı dönemlerine ait olmak üzere Arkeolojik ve </w:t>
      </w:r>
      <w:proofErr w:type="spellStart"/>
      <w:r>
        <w:rPr>
          <w:rFonts w:ascii="Arial" w:hAnsi="Arial" w:cs="Arial"/>
          <w:color w:val="676767"/>
          <w:sz w:val="23"/>
          <w:szCs w:val="23"/>
          <w:shd w:val="clear" w:color="auto" w:fill="FFFFFF"/>
        </w:rPr>
        <w:t>Etnografik</w:t>
      </w:r>
      <w:proofErr w:type="spellEnd"/>
      <w:r>
        <w:rPr>
          <w:rFonts w:ascii="Arial" w:hAnsi="Arial" w:cs="Arial"/>
          <w:color w:val="676767"/>
          <w:sz w:val="23"/>
          <w:szCs w:val="23"/>
          <w:shd w:val="clear" w:color="auto" w:fill="FFFFFF"/>
        </w:rPr>
        <w:t xml:space="preserve"> eserler sergilenmektedir. Bunların arasında pişmiş toprak heykelcikler ve kaplar, mimari parçalar, </w:t>
      </w:r>
      <w:proofErr w:type="spellStart"/>
      <w:r>
        <w:rPr>
          <w:rFonts w:ascii="Arial" w:hAnsi="Arial" w:cs="Arial"/>
          <w:color w:val="676767"/>
          <w:sz w:val="23"/>
          <w:szCs w:val="23"/>
          <w:shd w:val="clear" w:color="auto" w:fill="FFFFFF"/>
        </w:rPr>
        <w:t>amphoralar</w:t>
      </w:r>
      <w:proofErr w:type="spellEnd"/>
      <w:r>
        <w:rPr>
          <w:rFonts w:ascii="Arial" w:hAnsi="Arial" w:cs="Arial"/>
          <w:color w:val="676767"/>
          <w:sz w:val="23"/>
          <w:szCs w:val="23"/>
          <w:shd w:val="clear" w:color="auto" w:fill="FFFFFF"/>
        </w:rPr>
        <w:t>, sikkeler yer almaktadır. Müzenin etnografya koleksiyonu, 19. yüzyıla tarihlenen giyim eşyaları, mutfak ve hamam eşyaları, silahlar, kilimler ve takılardan oluşmaktadır. Mahzenin ilk salonunda, Sinop ve çevresine ait ‘</w:t>
      </w:r>
      <w:proofErr w:type="spellStart"/>
      <w:r>
        <w:rPr>
          <w:rFonts w:ascii="Arial" w:hAnsi="Arial" w:cs="Arial"/>
          <w:color w:val="676767"/>
          <w:sz w:val="23"/>
          <w:szCs w:val="23"/>
          <w:shd w:val="clear" w:color="auto" w:fill="FFFFFF"/>
        </w:rPr>
        <w:t>Amphoralar</w:t>
      </w:r>
      <w:proofErr w:type="spellEnd"/>
      <w:r>
        <w:rPr>
          <w:rFonts w:ascii="Arial" w:hAnsi="Arial" w:cs="Arial"/>
          <w:color w:val="676767"/>
          <w:sz w:val="23"/>
          <w:szCs w:val="23"/>
          <w:shd w:val="clear" w:color="auto" w:fill="FFFFFF"/>
        </w:rPr>
        <w:t xml:space="preserve">’ sergilenmektedir. Müze binasının kuzeyinde yer alan bodrum kat üzerine üç katlı olarak inşa edilmiş yapının, </w:t>
      </w:r>
      <w:proofErr w:type="spellStart"/>
      <w:r>
        <w:rPr>
          <w:rFonts w:ascii="Arial" w:hAnsi="Arial" w:cs="Arial"/>
          <w:color w:val="676767"/>
          <w:sz w:val="23"/>
          <w:szCs w:val="23"/>
          <w:shd w:val="clear" w:color="auto" w:fill="FFFFFF"/>
        </w:rPr>
        <w:t>Gogora</w:t>
      </w:r>
      <w:proofErr w:type="spellEnd"/>
      <w:r>
        <w:rPr>
          <w:rFonts w:ascii="Arial" w:hAnsi="Arial" w:cs="Arial"/>
          <w:color w:val="676767"/>
          <w:sz w:val="23"/>
          <w:szCs w:val="23"/>
          <w:shd w:val="clear" w:color="auto" w:fill="FFFFFF"/>
        </w:rPr>
        <w:t xml:space="preserve"> Kilisesi’nden daha geç bir tarihte yapıldığı düşünülmektedir. Yapı, “Papaz Evi” olarak adlandırılmaktadır. 1993 yılında aslına uygun olarak restore edilen yapı, günümüzde müzenin İdari Binası olarak kullanılmaktadır. Mahzenler, Papaz Evi’nin batı duvarına bitişik olarak inşa edilmiş birbirine paralel iki mekândan oluşmaktadır. Mahzenler, beşik tonoz örtülüdür. Kilise binasının güney ve Papaz Evi’nin batı cephesinde iki adet çeşme yer almaktadır.</w:t>
      </w:r>
    </w:p>
    <w:p w:rsidR="00527CB9" w:rsidRPr="00527CB9" w:rsidRDefault="00527CB9" w:rsidP="00527CB9">
      <w:pPr>
        <w:shd w:val="clear" w:color="auto" w:fill="FFFFFF"/>
        <w:spacing w:after="120" w:line="240" w:lineRule="auto"/>
        <w:outlineLvl w:val="4"/>
        <w:rPr>
          <w:rFonts w:ascii="Arial" w:eastAsia="Times New Roman" w:hAnsi="Arial" w:cs="Arial"/>
          <w:color w:val="000000"/>
          <w:sz w:val="24"/>
          <w:szCs w:val="24"/>
          <w:lang w:eastAsia="tr-TR"/>
        </w:rPr>
      </w:pPr>
      <w:r w:rsidRPr="00527CB9">
        <w:rPr>
          <w:rFonts w:ascii="Arial" w:eastAsia="Times New Roman" w:hAnsi="Arial" w:cs="Arial"/>
          <w:color w:val="000000"/>
          <w:sz w:val="24"/>
          <w:szCs w:val="24"/>
          <w:lang w:eastAsia="tr-TR"/>
        </w:rPr>
        <w:t>Genel Bilgiler</w:t>
      </w:r>
    </w:p>
    <w:p w:rsidR="00527CB9" w:rsidRPr="00527CB9" w:rsidRDefault="00527CB9" w:rsidP="00527CB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27CB9">
        <w:rPr>
          <w:rFonts w:ascii="Arial" w:eastAsia="Times New Roman" w:hAnsi="Arial" w:cs="Arial"/>
          <w:b/>
          <w:bCs/>
          <w:color w:val="414141"/>
          <w:sz w:val="23"/>
          <w:szCs w:val="23"/>
          <w:lang w:eastAsia="tr-TR"/>
        </w:rPr>
        <w:t>Türü:</w:t>
      </w:r>
    </w:p>
    <w:p w:rsidR="00527CB9" w:rsidRPr="00527CB9" w:rsidRDefault="00527CB9" w:rsidP="00527CB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27CB9">
        <w:rPr>
          <w:rFonts w:ascii="Arial" w:eastAsia="Times New Roman" w:hAnsi="Arial" w:cs="Arial"/>
          <w:b/>
          <w:bCs/>
          <w:color w:val="414141"/>
          <w:sz w:val="23"/>
          <w:szCs w:val="23"/>
          <w:lang w:eastAsia="tr-TR"/>
        </w:rPr>
        <w:t>Envanter Adı:</w:t>
      </w:r>
      <w:r w:rsidRPr="00527CB9">
        <w:rPr>
          <w:rFonts w:ascii="Arial" w:eastAsia="Times New Roman" w:hAnsi="Arial" w:cs="Arial"/>
          <w:color w:val="676767"/>
          <w:sz w:val="23"/>
          <w:szCs w:val="23"/>
          <w:lang w:eastAsia="tr-TR"/>
        </w:rPr>
        <w:t> GOGORA KİLİSESİ (GİRESUN MÜZESİ)</w:t>
      </w:r>
    </w:p>
    <w:p w:rsidR="00527CB9" w:rsidRPr="00527CB9" w:rsidRDefault="00527CB9" w:rsidP="00527CB9">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527CB9">
        <w:rPr>
          <w:rFonts w:ascii="Arial" w:eastAsia="Times New Roman" w:hAnsi="Arial" w:cs="Arial"/>
          <w:b/>
          <w:bCs/>
          <w:color w:val="414141"/>
          <w:sz w:val="23"/>
          <w:szCs w:val="23"/>
          <w:lang w:eastAsia="tr-TR"/>
        </w:rPr>
        <w:t>Envanter Kodu:</w:t>
      </w:r>
      <w:r w:rsidRPr="00527CB9">
        <w:rPr>
          <w:rFonts w:ascii="Arial" w:eastAsia="Times New Roman" w:hAnsi="Arial" w:cs="Arial"/>
          <w:color w:val="676767"/>
          <w:sz w:val="23"/>
          <w:szCs w:val="23"/>
          <w:lang w:eastAsia="tr-TR"/>
        </w:rPr>
        <w:t> TR.ANT.28.020.020</w:t>
      </w:r>
    </w:p>
    <w:p w:rsidR="00527CB9" w:rsidRPr="00527CB9" w:rsidRDefault="00527CB9" w:rsidP="00527CB9">
      <w:pPr>
        <w:shd w:val="clear" w:color="auto" w:fill="FFFFFF"/>
        <w:spacing w:after="120" w:line="240" w:lineRule="auto"/>
        <w:outlineLvl w:val="4"/>
        <w:rPr>
          <w:rFonts w:ascii="Arial" w:eastAsia="Times New Roman" w:hAnsi="Arial" w:cs="Arial"/>
          <w:color w:val="000000"/>
          <w:sz w:val="24"/>
          <w:szCs w:val="24"/>
          <w:lang w:eastAsia="tr-TR"/>
        </w:rPr>
      </w:pPr>
      <w:r w:rsidRPr="00527CB9">
        <w:rPr>
          <w:rFonts w:ascii="Arial" w:eastAsia="Times New Roman" w:hAnsi="Arial" w:cs="Arial"/>
          <w:color w:val="000000"/>
          <w:sz w:val="24"/>
          <w:szCs w:val="24"/>
          <w:lang w:eastAsia="tr-TR"/>
        </w:rPr>
        <w:t>Kullanım Bilgileri</w:t>
      </w:r>
    </w:p>
    <w:p w:rsidR="00527CB9" w:rsidRPr="00527CB9" w:rsidRDefault="00527CB9" w:rsidP="00527CB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27CB9">
        <w:rPr>
          <w:rFonts w:ascii="Arial" w:eastAsia="Times New Roman" w:hAnsi="Arial" w:cs="Arial"/>
          <w:b/>
          <w:bCs/>
          <w:color w:val="414141"/>
          <w:sz w:val="23"/>
          <w:szCs w:val="23"/>
          <w:lang w:eastAsia="tr-TR"/>
        </w:rPr>
        <w:t>Orijinal Kullanım:</w:t>
      </w:r>
      <w:r w:rsidRPr="00527CB9">
        <w:rPr>
          <w:rFonts w:ascii="Arial" w:eastAsia="Times New Roman" w:hAnsi="Arial" w:cs="Arial"/>
          <w:color w:val="676767"/>
          <w:sz w:val="23"/>
          <w:szCs w:val="23"/>
          <w:lang w:eastAsia="tr-TR"/>
        </w:rPr>
        <w:t> Kilise</w:t>
      </w:r>
    </w:p>
    <w:p w:rsidR="00527CB9" w:rsidRPr="00527CB9" w:rsidRDefault="00527CB9" w:rsidP="00527CB9">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527CB9">
        <w:rPr>
          <w:rFonts w:ascii="Arial" w:eastAsia="Times New Roman" w:hAnsi="Arial" w:cs="Arial"/>
          <w:b/>
          <w:bCs/>
          <w:color w:val="414141"/>
          <w:sz w:val="23"/>
          <w:szCs w:val="23"/>
          <w:lang w:eastAsia="tr-TR"/>
        </w:rPr>
        <w:t>Bugünkü Kullanım:</w:t>
      </w:r>
      <w:r w:rsidRPr="00527CB9">
        <w:rPr>
          <w:rFonts w:ascii="Arial" w:eastAsia="Times New Roman" w:hAnsi="Arial" w:cs="Arial"/>
          <w:color w:val="676767"/>
          <w:sz w:val="23"/>
          <w:szCs w:val="23"/>
          <w:lang w:eastAsia="tr-TR"/>
        </w:rPr>
        <w:t> Müze</w:t>
      </w:r>
    </w:p>
    <w:p w:rsidR="00527CB9" w:rsidRPr="00527CB9" w:rsidRDefault="00527CB9" w:rsidP="00527CB9">
      <w:pPr>
        <w:shd w:val="clear" w:color="auto" w:fill="FFFFFF"/>
        <w:spacing w:after="120" w:line="240" w:lineRule="auto"/>
        <w:outlineLvl w:val="4"/>
        <w:rPr>
          <w:rFonts w:ascii="Arial" w:eastAsia="Times New Roman" w:hAnsi="Arial" w:cs="Arial"/>
          <w:color w:val="000000"/>
          <w:sz w:val="24"/>
          <w:szCs w:val="24"/>
          <w:lang w:eastAsia="tr-TR"/>
        </w:rPr>
      </w:pPr>
      <w:r w:rsidRPr="00527CB9">
        <w:rPr>
          <w:rFonts w:ascii="Arial" w:eastAsia="Times New Roman" w:hAnsi="Arial" w:cs="Arial"/>
          <w:color w:val="000000"/>
          <w:sz w:val="24"/>
          <w:szCs w:val="24"/>
          <w:lang w:eastAsia="tr-TR"/>
        </w:rPr>
        <w:t>Konum Bilgileri</w:t>
      </w:r>
    </w:p>
    <w:p w:rsidR="00527CB9" w:rsidRPr="00527CB9" w:rsidRDefault="00527CB9" w:rsidP="00527CB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27CB9">
        <w:rPr>
          <w:rFonts w:ascii="Arial" w:eastAsia="Times New Roman" w:hAnsi="Arial" w:cs="Arial"/>
          <w:b/>
          <w:bCs/>
          <w:color w:val="414141"/>
          <w:sz w:val="23"/>
          <w:szCs w:val="23"/>
          <w:lang w:eastAsia="tr-TR"/>
        </w:rPr>
        <w:t>İl:</w:t>
      </w:r>
      <w:r w:rsidRPr="00527CB9">
        <w:rPr>
          <w:rFonts w:ascii="Arial" w:eastAsia="Times New Roman" w:hAnsi="Arial" w:cs="Arial"/>
          <w:color w:val="676767"/>
          <w:sz w:val="23"/>
          <w:szCs w:val="23"/>
          <w:lang w:eastAsia="tr-TR"/>
        </w:rPr>
        <w:t> Giresun</w:t>
      </w:r>
    </w:p>
    <w:p w:rsidR="00527CB9" w:rsidRPr="00527CB9" w:rsidRDefault="00527CB9" w:rsidP="00527CB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27CB9">
        <w:rPr>
          <w:rFonts w:ascii="Arial" w:eastAsia="Times New Roman" w:hAnsi="Arial" w:cs="Arial"/>
          <w:b/>
          <w:bCs/>
          <w:color w:val="414141"/>
          <w:sz w:val="23"/>
          <w:szCs w:val="23"/>
          <w:lang w:eastAsia="tr-TR"/>
        </w:rPr>
        <w:t>İlçe:</w:t>
      </w:r>
      <w:r w:rsidRPr="00527CB9">
        <w:rPr>
          <w:rFonts w:ascii="Arial" w:eastAsia="Times New Roman" w:hAnsi="Arial" w:cs="Arial"/>
          <w:color w:val="676767"/>
          <w:sz w:val="23"/>
          <w:szCs w:val="23"/>
          <w:lang w:eastAsia="tr-TR"/>
        </w:rPr>
        <w:t> Merkez</w:t>
      </w:r>
    </w:p>
    <w:p w:rsidR="00527CB9" w:rsidRPr="00527CB9" w:rsidRDefault="00527CB9" w:rsidP="00527CB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27CB9">
        <w:rPr>
          <w:rFonts w:ascii="Arial" w:eastAsia="Times New Roman" w:hAnsi="Arial" w:cs="Arial"/>
          <w:color w:val="676767"/>
          <w:sz w:val="23"/>
          <w:szCs w:val="23"/>
          <w:lang w:eastAsia="tr-TR"/>
        </w:rPr>
        <w:t xml:space="preserve">Mahalle / </w:t>
      </w:r>
      <w:proofErr w:type="spellStart"/>
      <w:proofErr w:type="gramStart"/>
      <w:r w:rsidRPr="00527CB9">
        <w:rPr>
          <w:rFonts w:ascii="Arial" w:eastAsia="Times New Roman" w:hAnsi="Arial" w:cs="Arial"/>
          <w:color w:val="676767"/>
          <w:sz w:val="23"/>
          <w:szCs w:val="23"/>
          <w:lang w:eastAsia="tr-TR"/>
        </w:rPr>
        <w:t>Köy:Kale</w:t>
      </w:r>
      <w:proofErr w:type="spellEnd"/>
      <w:proofErr w:type="gramEnd"/>
      <w:r w:rsidRPr="00527CB9">
        <w:rPr>
          <w:rFonts w:ascii="Arial" w:eastAsia="Times New Roman" w:hAnsi="Arial" w:cs="Arial"/>
          <w:color w:val="676767"/>
          <w:sz w:val="23"/>
          <w:szCs w:val="23"/>
          <w:lang w:eastAsia="tr-TR"/>
        </w:rPr>
        <w:t xml:space="preserve"> </w:t>
      </w:r>
      <w:proofErr w:type="spellStart"/>
      <w:r w:rsidRPr="00527CB9">
        <w:rPr>
          <w:rFonts w:ascii="Arial" w:eastAsia="Times New Roman" w:hAnsi="Arial" w:cs="Arial"/>
          <w:color w:val="676767"/>
          <w:sz w:val="23"/>
          <w:szCs w:val="23"/>
          <w:lang w:eastAsia="tr-TR"/>
        </w:rPr>
        <w:t>Mh</w:t>
      </w:r>
      <w:proofErr w:type="spellEnd"/>
      <w:r w:rsidRPr="00527CB9">
        <w:rPr>
          <w:rFonts w:ascii="Arial" w:eastAsia="Times New Roman" w:hAnsi="Arial" w:cs="Arial"/>
          <w:color w:val="676767"/>
          <w:sz w:val="23"/>
          <w:szCs w:val="23"/>
          <w:lang w:eastAsia="tr-TR"/>
        </w:rPr>
        <w:t>.</w:t>
      </w:r>
    </w:p>
    <w:p w:rsidR="00527CB9" w:rsidRPr="00527CB9" w:rsidRDefault="00527CB9" w:rsidP="00527CB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27CB9">
        <w:rPr>
          <w:rFonts w:ascii="Arial" w:eastAsia="Times New Roman" w:hAnsi="Arial" w:cs="Arial"/>
          <w:color w:val="676767"/>
          <w:sz w:val="23"/>
          <w:szCs w:val="23"/>
          <w:lang w:eastAsia="tr-TR"/>
        </w:rPr>
        <w:lastRenderedPageBreak/>
        <w:t>Pafta:23</w:t>
      </w:r>
    </w:p>
    <w:p w:rsidR="00527CB9" w:rsidRPr="00527CB9" w:rsidRDefault="00527CB9" w:rsidP="00527CB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27CB9">
        <w:rPr>
          <w:rFonts w:ascii="Arial" w:eastAsia="Times New Roman" w:hAnsi="Arial" w:cs="Arial"/>
          <w:color w:val="676767"/>
          <w:sz w:val="23"/>
          <w:szCs w:val="23"/>
          <w:lang w:eastAsia="tr-TR"/>
        </w:rPr>
        <w:t>Ada:221</w:t>
      </w:r>
    </w:p>
    <w:p w:rsidR="00527CB9" w:rsidRPr="00527CB9" w:rsidRDefault="00527CB9" w:rsidP="00527CB9">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527CB9">
        <w:rPr>
          <w:rFonts w:ascii="Arial" w:eastAsia="Times New Roman" w:hAnsi="Arial" w:cs="Arial"/>
          <w:color w:val="676767"/>
          <w:sz w:val="23"/>
          <w:szCs w:val="23"/>
          <w:lang w:eastAsia="tr-TR"/>
        </w:rPr>
        <w:t>Parsel:8</w:t>
      </w:r>
    </w:p>
    <w:p w:rsidR="00527CB9" w:rsidRDefault="00527CB9">
      <w:bookmarkStart w:id="0" w:name="_GoBack"/>
      <w:bookmarkEnd w:id="0"/>
    </w:p>
    <w:sectPr w:rsidR="00527CB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2805273"/>
    <w:multiLevelType w:val="multilevel"/>
    <w:tmpl w:val="9678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BF0CC1"/>
    <w:multiLevelType w:val="multilevel"/>
    <w:tmpl w:val="0F1AC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43E4FE4"/>
    <w:multiLevelType w:val="multilevel"/>
    <w:tmpl w:val="223C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0C9F"/>
    <w:rsid w:val="00210C9F"/>
    <w:rsid w:val="00527CB9"/>
    <w:rsid w:val="00EA237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D0EDE1-65B0-46E7-A577-7273F14AA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527CB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527CB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527CB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87242256">
      <w:bodyDiv w:val="1"/>
      <w:marLeft w:val="0"/>
      <w:marRight w:val="0"/>
      <w:marTop w:val="0"/>
      <w:marBottom w:val="0"/>
      <w:divBdr>
        <w:top w:val="none" w:sz="0" w:space="0" w:color="auto"/>
        <w:left w:val="none" w:sz="0" w:space="0" w:color="auto"/>
        <w:bottom w:val="none" w:sz="0" w:space="0" w:color="auto"/>
        <w:right w:val="none" w:sz="0" w:space="0" w:color="auto"/>
      </w:divBdr>
      <w:divsChild>
        <w:div w:id="34892774">
          <w:marLeft w:val="0"/>
          <w:marRight w:val="0"/>
          <w:marTop w:val="0"/>
          <w:marBottom w:val="0"/>
          <w:divBdr>
            <w:top w:val="none" w:sz="0" w:space="0" w:color="auto"/>
            <w:left w:val="none" w:sz="0" w:space="0" w:color="auto"/>
            <w:bottom w:val="none" w:sz="0" w:space="0" w:color="auto"/>
            <w:right w:val="none" w:sz="0" w:space="0" w:color="auto"/>
          </w:divBdr>
          <w:divsChild>
            <w:div w:id="2074809048">
              <w:marLeft w:val="0"/>
              <w:marRight w:val="0"/>
              <w:marTop w:val="0"/>
              <w:marBottom w:val="0"/>
              <w:divBdr>
                <w:top w:val="none" w:sz="0" w:space="0" w:color="auto"/>
                <w:left w:val="none" w:sz="0" w:space="0" w:color="auto"/>
                <w:bottom w:val="none" w:sz="0" w:space="0" w:color="auto"/>
                <w:right w:val="none" w:sz="0" w:space="0" w:color="auto"/>
              </w:divBdr>
              <w:divsChild>
                <w:div w:id="1126856405">
                  <w:marLeft w:val="0"/>
                  <w:marRight w:val="0"/>
                  <w:marTop w:val="0"/>
                  <w:marBottom w:val="0"/>
                  <w:divBdr>
                    <w:top w:val="none" w:sz="0" w:space="0" w:color="auto"/>
                    <w:left w:val="none" w:sz="0" w:space="0" w:color="auto"/>
                    <w:bottom w:val="none" w:sz="0" w:space="0" w:color="auto"/>
                    <w:right w:val="none" w:sz="0" w:space="0" w:color="auto"/>
                  </w:divBdr>
                  <w:divsChild>
                    <w:div w:id="726027421">
                      <w:marLeft w:val="0"/>
                      <w:marRight w:val="0"/>
                      <w:marTop w:val="0"/>
                      <w:marBottom w:val="0"/>
                      <w:divBdr>
                        <w:top w:val="none" w:sz="0" w:space="0" w:color="auto"/>
                        <w:left w:val="none" w:sz="0" w:space="0" w:color="auto"/>
                        <w:bottom w:val="none" w:sz="0" w:space="0" w:color="auto"/>
                        <w:right w:val="none" w:sz="0" w:space="0" w:color="auto"/>
                      </w:divBdr>
                      <w:divsChild>
                        <w:div w:id="1069615155">
                          <w:marLeft w:val="0"/>
                          <w:marRight w:val="0"/>
                          <w:marTop w:val="0"/>
                          <w:marBottom w:val="0"/>
                          <w:divBdr>
                            <w:top w:val="none" w:sz="0" w:space="0" w:color="auto"/>
                            <w:left w:val="none" w:sz="0" w:space="0" w:color="auto"/>
                            <w:bottom w:val="none" w:sz="0" w:space="0" w:color="auto"/>
                            <w:right w:val="none" w:sz="0" w:space="0" w:color="auto"/>
                          </w:divBdr>
                          <w:divsChild>
                            <w:div w:id="54163669">
                              <w:marLeft w:val="0"/>
                              <w:marRight w:val="0"/>
                              <w:marTop w:val="0"/>
                              <w:marBottom w:val="0"/>
                              <w:divBdr>
                                <w:top w:val="none" w:sz="0" w:space="0" w:color="auto"/>
                                <w:left w:val="none" w:sz="0" w:space="0" w:color="auto"/>
                                <w:bottom w:val="none" w:sz="0" w:space="0" w:color="auto"/>
                                <w:right w:val="none" w:sz="0" w:space="0" w:color="auto"/>
                              </w:divBdr>
                            </w:div>
                            <w:div w:id="1717779969">
                              <w:marLeft w:val="0"/>
                              <w:marRight w:val="0"/>
                              <w:marTop w:val="0"/>
                              <w:marBottom w:val="0"/>
                              <w:divBdr>
                                <w:top w:val="none" w:sz="0" w:space="0" w:color="auto"/>
                                <w:left w:val="none" w:sz="0" w:space="0" w:color="auto"/>
                                <w:bottom w:val="none" w:sz="0" w:space="0" w:color="auto"/>
                                <w:right w:val="none" w:sz="0" w:space="0" w:color="auto"/>
                              </w:divBdr>
                            </w:div>
                          </w:divsChild>
                        </w:div>
                        <w:div w:id="1366952071">
                          <w:marLeft w:val="0"/>
                          <w:marRight w:val="0"/>
                          <w:marTop w:val="0"/>
                          <w:marBottom w:val="0"/>
                          <w:divBdr>
                            <w:top w:val="none" w:sz="0" w:space="0" w:color="auto"/>
                            <w:left w:val="none" w:sz="0" w:space="0" w:color="auto"/>
                            <w:bottom w:val="none" w:sz="0" w:space="0" w:color="auto"/>
                            <w:right w:val="none" w:sz="0" w:space="0" w:color="auto"/>
                          </w:divBdr>
                          <w:divsChild>
                            <w:div w:id="704790491">
                              <w:marLeft w:val="0"/>
                              <w:marRight w:val="0"/>
                              <w:marTop w:val="0"/>
                              <w:marBottom w:val="0"/>
                              <w:divBdr>
                                <w:top w:val="none" w:sz="0" w:space="0" w:color="auto"/>
                                <w:left w:val="none" w:sz="0" w:space="0" w:color="auto"/>
                                <w:bottom w:val="none" w:sz="0" w:space="0" w:color="auto"/>
                                <w:right w:val="none" w:sz="0" w:space="0" w:color="auto"/>
                              </w:divBdr>
                            </w:div>
                            <w:div w:id="52016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713626">
          <w:marLeft w:val="0"/>
          <w:marRight w:val="0"/>
          <w:marTop w:val="0"/>
          <w:marBottom w:val="0"/>
          <w:divBdr>
            <w:top w:val="none" w:sz="0" w:space="0" w:color="auto"/>
            <w:left w:val="none" w:sz="0" w:space="0" w:color="auto"/>
            <w:bottom w:val="none" w:sz="0" w:space="0" w:color="auto"/>
            <w:right w:val="none" w:sz="0" w:space="0" w:color="auto"/>
          </w:divBdr>
          <w:divsChild>
            <w:div w:id="482477802">
              <w:marLeft w:val="0"/>
              <w:marRight w:val="0"/>
              <w:marTop w:val="0"/>
              <w:marBottom w:val="0"/>
              <w:divBdr>
                <w:top w:val="none" w:sz="0" w:space="0" w:color="auto"/>
                <w:left w:val="none" w:sz="0" w:space="0" w:color="auto"/>
                <w:bottom w:val="none" w:sz="0" w:space="0" w:color="auto"/>
                <w:right w:val="none" w:sz="0" w:space="0" w:color="auto"/>
              </w:divBdr>
              <w:divsChild>
                <w:div w:id="380978502">
                  <w:marLeft w:val="0"/>
                  <w:marRight w:val="0"/>
                  <w:marTop w:val="0"/>
                  <w:marBottom w:val="0"/>
                  <w:divBdr>
                    <w:top w:val="none" w:sz="0" w:space="0" w:color="auto"/>
                    <w:left w:val="none" w:sz="0" w:space="0" w:color="auto"/>
                    <w:bottom w:val="none" w:sz="0" w:space="0" w:color="auto"/>
                    <w:right w:val="none" w:sz="0" w:space="0" w:color="auto"/>
                  </w:divBdr>
                  <w:divsChild>
                    <w:div w:id="616059733">
                      <w:marLeft w:val="0"/>
                      <w:marRight w:val="0"/>
                      <w:marTop w:val="0"/>
                      <w:marBottom w:val="0"/>
                      <w:divBdr>
                        <w:top w:val="none" w:sz="0" w:space="0" w:color="auto"/>
                        <w:left w:val="none" w:sz="0" w:space="0" w:color="auto"/>
                        <w:bottom w:val="none" w:sz="0" w:space="0" w:color="auto"/>
                        <w:right w:val="none" w:sz="0" w:space="0" w:color="auto"/>
                      </w:divBdr>
                      <w:divsChild>
                        <w:div w:id="1870021453">
                          <w:marLeft w:val="0"/>
                          <w:marRight w:val="0"/>
                          <w:marTop w:val="0"/>
                          <w:marBottom w:val="0"/>
                          <w:divBdr>
                            <w:top w:val="none" w:sz="0" w:space="0" w:color="auto"/>
                            <w:left w:val="none" w:sz="0" w:space="0" w:color="auto"/>
                            <w:bottom w:val="none" w:sz="0" w:space="0" w:color="auto"/>
                            <w:right w:val="none" w:sz="0" w:space="0" w:color="auto"/>
                          </w:divBdr>
                        </w:div>
                        <w:div w:id="194630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451</Words>
  <Characters>2576</Characters>
  <Application>Microsoft Office Word</Application>
  <DocSecurity>0</DocSecurity>
  <Lines>21</Lines>
  <Paragraphs>6</Paragraphs>
  <ScaleCrop>false</ScaleCrop>
  <Company>Hewlett-Packard Company</Company>
  <LinksUpToDate>false</LinksUpToDate>
  <CharactersWithSpaces>3021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2019-09-09T12:02:00Z</dcterms:created>
  <dcterms:modified xsi:type="dcterms:W3CDTF">2019-09-09T12:02:00Z</dcterms:modified>
</cp:coreProperties>
</file>