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Hotel and Accommodation Partner Services Agreement</w:t>
      </w:r>
    </w:p>
    <w:p>
      <w:pPr>
        <w:jc w:val="center"/>
      </w:pPr>
      <w:r>
        <w:rPr>
          <w:rFonts w:ascii="Aptos" w:hAnsi="Aptos"/>
          <w:b/>
          <w:color w:val="12395B"/>
          <w:sz w:val="24"/>
        </w:rPr>
        <w:t>Management approved hotel partner agreement</w:t>
      </w:r>
    </w:p>
    <w:p>
      <w:pPr>
        <w:jc w:val="center"/>
      </w:pPr>
      <w:r>
        <w:rPr>
          <w:rFonts w:ascii="Aptos" w:hAnsi="Aptos"/>
          <w:color w:val="5B6573"/>
          <w:sz w:val="20"/>
        </w:rPr>
        <w:t>Version 1.2 | Effective 23 September 2026</w:t>
      </w:r>
    </w:p>
    <w:p>
      <w:pPr>
        <w:spacing w:before="240"/>
      </w:pPr>
      <w:r>
        <w:rPr>
          <w:rFonts w:ascii="Aptos" w:hAnsi="Aptos"/>
          <w:color w:val="1F2937"/>
          <w:sz w:val="21"/>
        </w:rPr>
        <w:t>This agreement governs onboarding of an independent hotel or accommodation provider to the Mandyal Travels platform. The Partner accepts this version through the platform's explicit electronic acceptance workflow or by returning a completed signed copy. The agreement becomes operative only when Mandyal Travels approves the application. Any stamp duty, signature, or other formality required for the particular transaction remains applicable. The partner account remains inactive until approval is recorded.</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current tourism-unit registration and classification where required, property ownership or management authority, approved building/use permissions, fire and life-safety evidence, and food-business registration or licence where food is supplied;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The property is registered with the competent tourism authority where required and is lawfully approved for guest accommodation.</w:t>
      </w:r>
    </w:p>
    <w:p>
      <w:pPr>
        <w:pStyle w:val="ListBullet"/>
        <w:keepLines/>
      </w:pPr>
      <w:r>
        <w:t>Rooms, occupancy limits, accessibility features, amenities, photographs and location are accurate and do not conceal material conditions.</w:t>
      </w:r>
    </w:p>
    <w:p>
      <w:pPr>
        <w:pStyle w:val="ListBullet"/>
        <w:keepLines/>
      </w:pPr>
      <w:r>
        <w:t>Food, water, sanitation, fire, building, labour, alcohol and local police requirements are met where applicable.</w:t>
      </w:r>
    </w:p>
    <w:p>
      <w:pPr>
        <w:pStyle w:val="ListBullet"/>
        <w:keepLines/>
      </w:pPr>
      <w:r>
        <w:t>Guest registers and foreign-national reporting are maintained and submitted as required by applicable law.</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Hotel is responsible for safe premises, guest rooms, common areas, food and beverage operations, pools, lifts, heating, electrical systems, fire protection, security, housekeeping and all personnel or contractors involved in the stay.</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Maintain functioning alarms, extinguishers, exits, evacuation information, emergency lighting and inspection records as legally required.</w:t>
      </w:r>
    </w:p>
    <w:p>
      <w:pPr>
        <w:pStyle w:val="ListBullet"/>
        <w:keepLines/>
      </w:pPr>
      <w:r>
        <w:t>Use trained personnel, lawful access controls and reasonable safeguards against theft, assault, hidden surveillance, harassment and unauthorised room entry.</w:t>
      </w:r>
    </w:p>
    <w:p>
      <w:pPr>
        <w:pStyle w:val="ListBullet"/>
        <w:keepLines/>
      </w:pPr>
      <w:r>
        <w:t>Maintain hygiene, pest control, safe drinking water and food safety; isolate unsafe rooms or facilities immediately.</w:t>
      </w:r>
    </w:p>
    <w:p>
      <w:pPr>
        <w:pStyle w:val="ListBullet"/>
        <w:keepLines/>
      </w:pPr>
      <w:r>
        <w:t>Never overbook knowingly; if relocation is unavoidable, arrange equal or better accommodation and reasonable transport at the Hotel's cost, subject to customer rights.</w:t>
      </w:r>
    </w:p>
    <w:p>
      <w:pPr>
        <w:pStyle w:val="ListBullet"/>
        <w:keepLines/>
      </w:pPr>
      <w:r>
        <w:t>Report death, serious injury, fire, major illness, sexual misconduct allegation, missing person, significant theft or police attendance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Each booking must retain its source, payment recipient, fee-rule version and calculation. A Mandyal marketplace booking, a PMS-direct online booking, a PMS-direct offline booking and an external-OTA import are different commercial events and must not be reclassified to avoid a fee or misstate who received customer funds.</w:t>
      </w:r>
    </w:p>
    <w:p>
      <w:pPr>
        <w:keepLines/>
      </w:pPr>
      <w:r>
        <w:t>From the first day of an activated Hotel workspace, the launch transaction fees are: 18% of booking value, minimum INR 199, for a Mandyal marketplace-acquired booking; 6%, minimum INR 99, for a direct or walk-in PMS booking paid through an enabled Mandyal payment flow; 3%, minimum INR 49, for a direct or walk-in PMS booking paid by cash, Hotel UPI or Hotel POS; and 0% Mandyal booking commission for a booking imported from an external OTA. Percentages are inclusive of GST on Mandyal Travels' fee. The external OTA's charges remain governed by the Partner's agreement with that OTA.</w:t>
      </w:r>
    </w:p>
    <w:p>
      <w:pPr>
        <w:keepLines/>
      </w:pPr>
      <w:r>
        <w:t>The Hotel PMS has no standard remote setup charge. Months 1 to 6 from workspace activation are free; months 7 to 12 are charged at 50% of the applicable room tier; and month 13 onward is charged at the full tier. Monthly prices are INR 1,999 for 1-10 rooms, INR 2,999 for 11-20, INR 4,499 for 21-35, INR 5,999 for 36-50 and INR 8,999 for 51-100, plus GST. More than 100 rooms requires a written quote. A standard-rate 12-month term beginning in month 13 or later is priced at ten monthly charges. On-site work, hardware, messaging and custom integrations require a separate written quote.</w:t>
      </w:r>
    </w:p>
    <w:p>
      <w:pPr>
        <w:keepLines/>
      </w:pPr>
      <w:r>
        <w:t>The Partner remains responsible for its own registrations, tax classification, invoices, returns and statutory payments. GST TCS, income-tax TDS and similar statutory credits attributable to the Partner are not Mandyal Travels revenue. Mandyal Travels may withhold or set off amounts only where contractually and legally permitted for refunds, chargebacks, fraud, tax, fees, penalties attributable to the Partner or unresolved customer claims, and must provide supporting statement records.</w:t>
      </w:r>
    </w:p>
    <w:p>
      <w:pPr>
        <w:pStyle w:val="ListBullet"/>
        <w:keepLines/>
      </w:pPr>
      <w:r>
        <w:t>A payment-required online booking is confirmed only after verified successful capture and issue of a platform confirmation reference. Pending, failed, expired, mismatched or reversed payments do not confirm a booking.</w:t>
      </w:r>
    </w:p>
    <w:p>
      <w:pPr>
        <w:pStyle w:val="ListBullet"/>
        <w:keepLines/>
      </w:pPr>
      <w:r>
        <w:t>Cash, Partner UPI and Partner POS receipts are held by the Partner and are not paid out again by Mandyal Travels. The related fee is a receivable that may be invoiced or set off only under this Agreement, with a statement and dispute route.</w:t>
      </w:r>
    </w:p>
    <w:p>
      <w:pPr>
        <w:pStyle w:val="ListBullet"/>
        <w:keepLines/>
      </w:pPr>
      <w:r>
        <w:t>Mandyal-collected funds become settlement-eligible only after successful capture, checkout, reconciliation and clearance of refund, fraud, chargeback, compliance, tax or legal holds. The target is two business days after eligibility, not a guaranteed 48-hour period.</w:t>
      </w:r>
    </w:p>
    <w:p>
      <w:pPr>
        <w:pStyle w:val="ListBullet"/>
        <w:keepLines/>
      </w:pPr>
      <w:r>
        <w:t>Commercial changes apply prospectively after required notice and acceptance. A confirmed booking keeps the fee and tax snapshot accepted at confirmation.</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Hotel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Identity and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Prove the authorised signatory's identity and authority to bind the operator.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Upload government ID and authority evidence at onboarding; retain entity, ownership and property-operation records for 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registration</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current registration/classification required for the accommodation type and location.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number, issuer and expiry; retain certificate and renewals; produce on lawful audit or sooner if Mandyal Travels flags risk.</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Building and fire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Operate only from approved premises with lawful occupancy and functioning fire/life-safety controls.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status; retain approvals, NOC/equivalent and inspection logs; produce immediately after incident or regulator request.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beverage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the appropriate food-business registration/licence and follow hygiene and allergen controls.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licence metadata; retain FSSAI, inspection and water-quality evidence;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Guest records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guests proportionately, protect identity data and complete legally required guest/foreigner reporting.</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guest-register procedure, privacy notice and applicable foreigner-reporting records; produce lawfully and securely.</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property, fire, public liability, employer/workforce and other appropriate cover.</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insurer, policy number, cover and expiry; retain policy and premium evidence; Mandyal Travels may inspect before going live.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Rates and refunds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Publish total price and lawful cancellation terms; follow applicable tourism and consumer law.</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rate card, refund policy, invoice sample and complaint procedure; produce during audit or complaint.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Safety operations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24-hour escalation, evacuation, first aid, incident response and staff training.</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safety-lead, emergency, drill, training and incident records; produce immediately for serious events.</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hotel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  I intend to accept this exact version electronically as the authorised representative. If Mandyal Travels identifies an applicable execution or stamping requirement, I will also return the requested complete signed or stamped copy from the registered business email.</w:t>
      </w:r>
      <w:r>
        <w:rPr>
          <w:rFonts w:ascii="Aptos" w:hAnsi="Aptos"/>
          <w:color w:val="1F2937"/>
          <w:sz w:val="21"/>
        </w:rPr>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Mandyal Travels will make a locked, versioned copy of this Agreement available to the applicant and may also send it to the verified partner email with the application reference, partner legal name, version and content hash. Electronic acceptance requires an unticked affirmative action by an authorised representative after the complete agreement is available for review. Mandyal Travels will retain the accepted name, user account, verified phone record, acceptance timestamp, agreement version and hash, and hashed request-device evidence where lawful. A generic email reply or a preselected checkbox is not acceptance. The account remains pending until a named administrator records approval.</w:t>
      </w:r>
    </w:p>
    <w:p>
      <w:pPr>
        <w:pStyle w:val="ListBullet"/>
        <w:keepLines/>
      </w:pPr>
      <w:r>
        <w:t>If acceptance or requested supporting execution evidence is not completed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The platform acceptance record is evidence of contract acceptance; it is not represented as a licensed digital-signature certificate. Mandyal Travels may additionally require wet-ink or recognised electronic signature, notarisation, stamping or e-stamping where the instrument, transaction or applicable law requires that formality.</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Each accepting representative confirms authority to bind the identified party, access to the complete Agreement, an opportunity to obtain independent advice, and an intention to be bound when Mandyal Travels records approval. Acceptance may be evidenced by the attributable electronic record described above or by signatures below. The parties remain responsible for any applicable stamp duty or execution formality for the place and manner of acceptance.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considered for this Agreement. It is not a representation that every listed law applies to every Partner or that every possible law has been listed. The Partner must identify and comply with all central, state, union-territory, local and mandatory foreign laws that apply to its actual service, location, licences, customers, data processing and operating model, including amendments. Before launching in a new state, union territory or foreign jurisdiction, the parties must verify the local requirements and obtain appropriate professional advice where needed.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accommodation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Himachal Pradesh Tourism Development and Registration Act, 2002; H.P. Tourism Development and Registration of Tourism Trade Rules, 2012; H.P. Home Stay Rules, 2025 where the property category is a home stay; equivalent state/local law outside Himachal Pradesh.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guest operations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Safety and Standards Act, 2006 and applicable licensing/registration regulations where food is supplied; current foreign-guest reporting, fire, building, sanitation, labour and local police requirements.</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Hotel Partner Agreement</w:t>
            <w:br/>
          </w:r>
          <w:r>
            <w:rPr>
              <w:rFonts w:ascii="Aptos" w:hAnsi="Aptos"/>
              <w:color w:val="5B6573"/>
              <w:sz w:val="15"/>
            </w:rPr>
            <w:t>Review Copy 1.1 | 13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and Accommodation Partner Services Agreement</dc:title>
  <dc:subject>Mandyal Travels hotel partner agreement version 1.2</dc:subject>
  <dc:creator>python-docx</dc:creator>
  <cp:keywords/>
  <dc:description>Management-approved release for hotel partner onboarding</dc:description>
  <cp:lastModifiedBy/>
  <cp:revision>1</cp:revision>
  <dcterms:created xsi:type="dcterms:W3CDTF">2013-12-23T23:15:00Z</dcterms:created>
  <dcterms:modified xsi:type="dcterms:W3CDTF">2013-12-23T23:15:00Z</dcterms:modified>
  <cp:category/>
</cp:coreProperties>
</file>