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 and Ground Transport Partner Services Agreement</w:t>
      </w:r>
    </w:p>
    <w:p>
      <w:pPr>
        <w:jc w:val="center"/>
      </w:pPr>
      <w:r>
        <w:rPr>
          <w:rFonts w:ascii="Aptos" w:hAnsi="Aptos"/>
          <w:b/>
          <w:color w:val="12395B"/>
          <w:sz w:val="24"/>
        </w:rPr>
        <w:t>Draft for legal and operational review</w:t>
      </w:r>
    </w:p>
    <w:p>
      <w:pPr>
        <w:jc w:val="center"/>
      </w:pPr>
      <w:r>
        <w:rPr>
          <w:rFonts w:ascii="Aptos" w:hAnsi="Aptos"/>
          <w:color w:val="5B6573"/>
          <w:sz w:val="20"/>
        </w:rPr>
        <w:t>Review Copy 1.0 | 11 September 2026</w:t>
      </w:r>
    </w:p>
    <w:p>
      <w:pPr>
        <w:spacing w:before="240"/>
      </w:pPr>
      <w:r>
        <w:rPr>
          <w:rFonts w:ascii="Aptos" w:hAnsi="Aptos"/>
          <w:color w:val="1F2937"/>
          <w:sz w:val="21"/>
        </w:rPr>
        <w:t>This agreement is intended for onboarding an independent service provider to the Mandyal Travels platform. It becomes binding only when completed, duly executed, accepted by Mandyal Travels, and stamped or otherwise formalised as required by applicable law. The partner account remains inactive until written approval.</w:t>
      </w: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Platform</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Mandyal Travels Services Private Limited, CIN U49221HP2026PTC012778</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Partner legal name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Application reference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Effective 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p>
      <w:pPr>
        <w:pStyle w:val="Heading1"/>
        <w:keepNext/>
      </w:pPr>
      <w:r>
        <w:t>1  Purpose and relationship</w:t>
      </w:r>
    </w:p>
    <w:p>
      <w:pPr>
        <w:keepLines/>
      </w:pPr>
      <w:r>
        <w:t>This Agreement is made between Mandyal Travels Services Private Limited (Mandyal Travels), which operates the digital marketplace and partner administration platform, and the entity identified as the Partner. Mandyal Travels provides technology, discovery, reservation support, communications and related facilitation. Except where a booking confirmation expressly states otherwise, the Partner is the independent supplier and is responsible for delivering the booked service safely, lawfully and as described.</w:t>
      </w:r>
    </w:p>
    <w:p>
      <w:pPr>
        <w:keepLines/>
      </w:pPr>
      <w:r>
        <w:t>Nothing in this Agreement creates employment, partnership, franchise, fiduciary relationship or joint venture. The Partner has no authority to bind Mandyal Travels or make commitments in Mandyal Travels' name. Mandyal Travels may act as a limited collection or communication agent only where the applicable booking flow expressly provides for that role.</w:t>
      </w:r>
    </w:p>
    <w:p>
      <w:pPr>
        <w:pStyle w:val="Heading1"/>
        <w:keepNext/>
      </w:pPr>
      <w:r>
        <w:t>2  Conditions before activation</w:t>
      </w:r>
    </w:p>
    <w:p>
      <w:pPr>
        <w:keepLines/>
      </w:pPr>
      <w:r>
        <w:t>Submission of an application, verification code, signed agreement or fee does not guarantee approval. Mandyal Travels may verify the Partner, its owners, authorised signatory, premises, vehicles, licences, bank details and supplied records. The evidence process is proportionate: identity and signing authority are supplied at onboarding; other operational records are self-certified, kept current by the Partner and produced for inspection unless a pre-activation review is required.</w:t>
      </w:r>
    </w:p>
    <w:p>
      <w:pPr>
        <w:pStyle w:val="ListBullet"/>
        <w:keepLines/>
      </w:pPr>
      <w:r>
        <w:t>Upfront evidence: government-issued identity proof of the authorised signatory, verified email and phone, legal-business identity or registration reference, and written signing authority where the signatory is not a sole proprietor.</w:t>
      </w:r>
    </w:p>
    <w:p>
      <w:pPr>
        <w:pStyle w:val="ListBullet"/>
        <w:keepLines/>
      </w:pPr>
      <w:r>
        <w:t>Register and declaration: enter each applicable licence, permit, tax registration, insurance policy and safety approval number, issuing authority, validity period and a declaration that the underlying record is genuine and current.</w:t>
      </w:r>
    </w:p>
    <w:p>
      <w:pPr>
        <w:pStyle w:val="ListBullet"/>
        <w:keepLines/>
      </w:pPr>
      <w:r>
        <w:t>Retention and production: keep complete copies and originals under the Partner's control and produce them to Mandyal Travels, a court, police, regulator, tax, tourism, transport, fire, food-safety, consumer, data-protection, insurer or payment authority on lawful request.</w:t>
      </w:r>
    </w:p>
    <w:p>
      <w:pPr>
        <w:pStyle w:val="ListBullet"/>
        <w:keepLines/>
      </w:pPr>
      <w:r>
        <w:t>Timing: produce urgent safety, incident, fraud or regulator-requested evidence immediately or within 24 hours; respond to a routine Mandyal Travels audit within two business days unless law or the request specifies a shorter period.</w:t>
      </w:r>
    </w:p>
    <w:p>
      <w:pPr>
        <w:pStyle w:val="ListBullet"/>
        <w:keepLines/>
      </w:pPr>
      <w:r>
        <w:t>Enhanced review: Mandyal Travels may require any critical licence, permit, insurance, tax, bank or safety document before activation or continued listing where required by law, payment enablement, risk level, inconsistency, expiry, complaint, incident or red flag.</w:t>
      </w:r>
    </w:p>
    <w:p>
      <w:pPr>
        <w:pStyle w:val="ListBullet"/>
        <w:keepLines/>
      </w:pPr>
      <w:r>
        <w:t>valid vehicle registrations, transport or rental permits appropriate to the service, fitness and pollution certificates, insurance, tax payment evidence, and current driver licences, badges and police/background checks where required;</w:t>
      </w:r>
    </w:p>
    <w:p>
      <w:pPr>
        <w:pStyle w:val="Heading1"/>
        <w:keepNext/>
      </w:pPr>
      <w:r>
        <w:t>3  Partner warranties</w:t>
      </w:r>
    </w:p>
    <w:p>
      <w:pPr>
        <w:keepLines/>
      </w:pPr>
      <w:r>
        <w:t>The Partner warrants on application and continuously during the term that all information is complete, current and not misleading; that it is legally entitled to offer every listed service; and that neither it nor its personnel will impersonate Mandyal Travels, misuse customer information or make unauthorised promises on Mandyal Travels' behalf. The Partner must notify Mandyal Travels within one business day of any material change, suspension, expiry, investigation, ownership change or loss of authority.</w:t>
      </w:r>
    </w:p>
    <w:p>
      <w:pPr>
        <w:pStyle w:val="ListBullet"/>
        <w:keepLines/>
      </w:pPr>
      <w:r>
        <w:t>Every vehicle and driver is lawfully authorised for the actual commercial use, route and passenger category.</w:t>
      </w:r>
    </w:p>
    <w:p>
      <w:pPr>
        <w:pStyle w:val="ListBullet"/>
        <w:keepLines/>
      </w:pPr>
      <w:r>
        <w:t>Vehicle registration, permit, fitness, pollution, insurance, tax and driver documents remain current and match the listing.</w:t>
      </w:r>
    </w:p>
    <w:p>
      <w:pPr>
        <w:pStyle w:val="ListBullet"/>
        <w:keepLines/>
      </w:pPr>
      <w:r>
        <w:t>Drivers are fit, trained, rested, sober, appropriately licensed and subject to legally required verification.</w:t>
      </w:r>
    </w:p>
    <w:p>
      <w:pPr>
        <w:pStyle w:val="ListBullet"/>
        <w:keepLines/>
      </w:pPr>
      <w:r>
        <w:t>No vehicle or driver substitution occurs without equivalent compliance, customer notice and an auditable record.</w:t>
      </w:r>
    </w:p>
    <w:p>
      <w:pPr>
        <w:pStyle w:val="Heading1"/>
        <w:keepNext/>
      </w:pPr>
      <w:r>
        <w:t>4  Listings bookings and customer treatment</w:t>
      </w:r>
    </w:p>
    <w:p>
      <w:pPr>
        <w:keepLines/>
      </w:pPr>
      <w:r>
        <w:t>The Partner must keep availability, inclusions, exclusions, taxes, fees, rules, accessibility information, cancellation terms and material limitations accurate. It must honour each confirmed booking at the displayed terms, avoid hidden charges and treat customers fairly without unlawful discrimination. It may not move a customer off-platform to avoid fees or records.</w:t>
      </w:r>
    </w:p>
    <w:p>
      <w:pPr>
        <w:pStyle w:val="ListBullet"/>
        <w:keepLines/>
      </w:pPr>
      <w:r>
        <w:t>Confirm or reject operational requests within the time shown in the platform and promptly correct inventory errors.</w:t>
      </w:r>
    </w:p>
    <w:p>
      <w:pPr>
        <w:pStyle w:val="ListBullet"/>
        <w:keepLines/>
      </w:pPr>
      <w:r>
        <w:t>Issue lawful invoices, receipts and credit notes, and clearly identify the supplier of the underlying service.</w:t>
      </w:r>
    </w:p>
    <w:p>
      <w:pPr>
        <w:pStyle w:val="ListBullet"/>
        <w:keepLines/>
      </w:pPr>
      <w:r>
        <w:t>Provide a staffed escalation contact during every active booking and cooperate with refunds, chargebacks and complaints.</w:t>
      </w:r>
    </w:p>
    <w:p>
      <w:pPr>
        <w:pStyle w:val="ListBullet"/>
        <w:keepLines/>
      </w:pPr>
      <w:r>
        <w:t>Do not publish fake reviews, manipulate rankings, make misleading claims or use prohibited dark patterns.</w:t>
      </w:r>
    </w:p>
    <w:p>
      <w:pPr>
        <w:pStyle w:val="Heading1"/>
        <w:keepNext/>
      </w:pPr>
      <w:r>
        <w:t>5  Safety and incident responsibility</w:t>
      </w:r>
    </w:p>
    <w:p>
      <w:pPr>
        <w:keepLines/>
      </w:pPr>
      <w:r>
        <w:t>The Transport Partner is responsible for each vehicle, driver, route decision, pickup, journey, luggage handling, breakdown response and passenger safety from pickup until safe completion or documented handover.</w:t>
      </w:r>
    </w:p>
    <w:p>
      <w:pPr>
        <w:keepLines/>
      </w:pPr>
      <w:r>
        <w:t>The Partner has primary and direct responsibility for acts, omissions, premises, vehicles, equipment, personnel, subcontractors and operational decisions under its control. It must immediately contact emergency services when needed, protect affected persons, preserve evidence, notify Mandyal Travels as soon as practicable and in any event within 12 hours of a serious incident, and provide a written report within 24 hours. Notification does not replace any statutory report.</w:t>
      </w:r>
    </w:p>
    <w:p>
      <w:pPr>
        <w:pStyle w:val="ListBullet"/>
        <w:keepLines/>
      </w:pPr>
      <w:r>
        <w:t>Inspect and maintain brakes, tyres, lights, restraints, airbags where fitted, emergency equipment and cleanliness on a documented schedule.</w:t>
      </w:r>
    </w:p>
    <w:p>
      <w:pPr>
        <w:pStyle w:val="ListBullet"/>
        <w:keepLines/>
      </w:pPr>
      <w:r>
        <w:t>Prohibit driving under alcohol, drugs, fatigue, unsafe distraction or unlawful speed; comply with duty/rest requirements and traffic directions.</w:t>
      </w:r>
    </w:p>
    <w:p>
      <w:pPr>
        <w:pStyle w:val="ListBullet"/>
        <w:keepLines/>
      </w:pPr>
      <w:r>
        <w:t>Provide verified vehicle and driver details before pickup and prohibit unauthorised companions, route deviations or cash demands.</w:t>
      </w:r>
    </w:p>
    <w:p>
      <w:pPr>
        <w:pStyle w:val="ListBullet"/>
        <w:keepLines/>
      </w:pPr>
      <w:r>
        <w:t>Maintain appropriate GPS/emergency features where required, an accessible emergency contact and a prompt replacement plan for breakdowns.</w:t>
      </w:r>
    </w:p>
    <w:p>
      <w:pPr>
        <w:pStyle w:val="ListBullet"/>
        <w:keepLines/>
      </w:pPr>
      <w:r>
        <w:t>Report any collision, injury, harassment complaint, police action, missing passenger, vehicle seizure or insurance event immediately.</w:t>
      </w:r>
    </w:p>
    <w:p>
      <w:pPr>
        <w:pStyle w:val="Heading1"/>
        <w:keepNext/>
      </w:pPr>
      <w:r>
        <w:t>6  Customer information, cross-border service and platform security</w:t>
      </w:r>
    </w:p>
    <w:p>
      <w:pPr>
        <w:keepLines/>
      </w:pPr>
      <w:r>
        <w:t>Each party must process personal data only for lawful, specified purposes and apply reasonable security safeguards. The Partner may use booking and identity data only to deliver the booking, meet legal obligations, prevent fraud or resolve a documented dispute. It must not sell, profile for unrelated advertising, retain full identity documents without lawful need, or contact customers for unrelated marketing without valid consent.</w:t>
      </w:r>
    </w:p>
    <w:p>
      <w:pPr>
        <w:keepLines/>
      </w:pPr>
      <w:r>
        <w:t>A traveller's nationality or residence does not by itself make every law of that traveller's home country applicable. The Partner must, however, comply with mandatory foreign consumer, privacy, accessibility, sanctions and e-commerce rules where the service is deliberately offered into that jurisdiction, conduct is monitored there, data is processed there, the Partner is established there, or another legally recognised territorial connection exists. Before entering a new country or targeted market, the Partner must obtain locally qualified advice and any required registrations.</w:t>
      </w:r>
    </w:p>
    <w:p>
      <w:pPr>
        <w:keepLines/>
      </w:pPr>
      <w:r>
        <w:t>International travellers must receive equal, respectful treatment, clear safety and emergency information, and reasonable language or accessibility assistance where practicable. The Partner must maintain safeguards against trafficking, sexual exploitation, child abuse, harassment and discrimination and immediately escalate credible risks to the competent authority.</w:t>
      </w:r>
    </w:p>
    <w:p>
      <w:pPr>
        <w:pStyle w:val="ListBullet"/>
        <w:keepLines/>
      </w:pPr>
      <w:r>
        <w:t>Use unique named accounts, strong passwords and multi-factor authentication where offered; never share credentials.</w:t>
      </w:r>
    </w:p>
    <w:p>
      <w:pPr>
        <w:pStyle w:val="ListBullet"/>
        <w:keepLines/>
      </w:pPr>
      <w:r>
        <w:t>Restrict access by role, keep access and disclosure logs, and promptly remove departing personnel.</w:t>
      </w:r>
    </w:p>
    <w:p>
      <w:pPr>
        <w:pStyle w:val="ListBullet"/>
        <w:keepLines/>
      </w:pPr>
      <w:r>
        <w:t>Notify Mandyal Travels at support@mandyaltravels.com immediately, and no later than six hours after discovery, of suspected account compromise, unauthorised access, loss or disclosure.</w:t>
      </w:r>
    </w:p>
    <w:p>
      <w:pPr>
        <w:pStyle w:val="ListBullet"/>
        <w:keepLines/>
      </w:pPr>
      <w:r>
        <w:t>Return or securely delete platform and customer data when no longer lawfully required, subject to mandatory retention periods.</w:t>
      </w:r>
    </w:p>
    <w:p>
      <w:pPr>
        <w:pStyle w:val="ListBullet"/>
        <w:keepLines/>
      </w:pPr>
      <w:r>
        <w:t>Assist with data-principal requests, regulator enquiries, breach response and evidence preservation.</w:t>
      </w:r>
    </w:p>
    <w:p>
      <w:pPr>
        <w:pStyle w:val="Heading1"/>
        <w:keepNext/>
      </w:pPr>
      <w:r>
        <w:t>7  Charges taxes payments and records</w:t>
      </w:r>
    </w:p>
    <w:p>
      <w:pPr>
        <w:keepLines/>
      </w:pPr>
      <w:r>
        <w:t>Commercial terms, commission, settlement timing, taxes, deductions, refunds and security deposits are those accepted in the applicable order form or partner dashboard. The Partner remains responsible for its own registrations, classification, tax collection, tax invoices, returns and statutory payments. Mandyal Travels may withhold or set off amounts reasonably required for refunds, chargebacks, fraud, tax withholding, penalties attributable to the Partner or unresolved customer claims, with supporting records.</w:t>
      </w:r>
    </w:p>
    <w:p>
      <w:pPr>
        <w:pStyle w:val="ListBullet"/>
        <w:keepLines/>
      </w:pPr>
      <w:r>
        <w:t>Maintain booking, invoice, consent, safety, licence and settlement records for the longer of the applicable legal period or three years, unless a longer hold is notified for a dispute.</w:t>
      </w:r>
    </w:p>
    <w:p>
      <w:pPr>
        <w:pStyle w:val="ListBullet"/>
        <w:keepLines/>
      </w:pPr>
      <w:r>
        <w:t>Do not store payment-card data outside an approved payment flow or ask customers to send card details by email or messaging.</w:t>
      </w:r>
    </w:p>
    <w:p>
      <w:pPr>
        <w:pStyle w:val="ListBullet"/>
        <w:keepLines/>
      </w:pPr>
      <w:r>
        <w:t>Reconcile statements promptly and raise a documented discrepancy within 30 days, without limiting rights that cannot lawfully be shortened.</w:t>
      </w:r>
    </w:p>
    <w:p>
      <w:pPr>
        <w:pStyle w:val="Heading1"/>
        <w:keepNext/>
      </w:pPr>
      <w:r>
        <w:t>8  Complaints refunds and cooperation</w:t>
      </w:r>
    </w:p>
    <w:p>
      <w:pPr>
        <w:keepLines/>
      </w:pPr>
      <w:r>
        <w:t>The Partner must acknowledge urgent safety complaints immediately and other complaints within one business day. It must investigate fairly, preserve records, provide a reasoned response and fund any refund, replacement, compensation, regulatory cost or chargeback caused by its breach, misdescription, cancellation, service deficiency or unlawful act. Mandyal Travels may take reasonable protective action for customers and recover attributable amounts from the Partner. Mandatory consumer rights and access to consumer commissions or regulators are not restricted by this Agreement.</w:t>
      </w:r>
    </w:p>
    <w:p>
      <w:pPr>
        <w:pStyle w:val="Heading1"/>
        <w:keepNext/>
      </w:pPr>
      <w:r>
        <w:t>9  Insurance indemnity and allocation of risk</w:t>
      </w:r>
    </w:p>
    <w:p>
      <w:pPr>
        <w:keepLines/>
      </w:pPr>
      <w:r>
        <w:t>The Partner must maintain insurance appropriate to its operations, personnel, property, vehicles, public liability and statutory obligations, with reputable insurers and limits reasonably sufficient for foreseeable loss. On request it must provide policies, endorsements, claim status and renewal evidence.</w:t>
      </w:r>
    </w:p>
    <w:p>
      <w:pPr>
        <w:keepLines/>
      </w:pPr>
      <w:r>
        <w:t>To the extent permitted by law, the Partner will defend, indemnify and hold harmless Mandyal Travels and its officers and personnel from third-party claims, losses, penalties, reasonable legal costs and liabilities arising from the Partner's service, premises, vehicles, staff, subcontractors, breach, negligence, wilful misconduct, fraud, infringement, tax default, data misuse or legal non-compliance. Mandyal Travels must give reasonable notice and cooperation; the Partner may not settle in a manner admitting fault by Mandyal Travels or imposing non-monetary obligations without consent.</w:t>
      </w:r>
    </w:p>
    <w:p>
      <w:pPr>
        <w:pStyle w:val="Heading1"/>
        <w:keepNext/>
      </w:pPr>
      <w:r>
        <w:t>10  Limits that remain lawful</w:t>
      </w:r>
    </w:p>
    <w:p>
      <w:pPr>
        <w:keepLines/>
      </w:pPr>
      <w:r>
        <w:t>Mandyal Travels does not operate or control the Partner's day-to-day service and does not guarantee uninterrupted platform access, booking volume or customer conduct. To the extent permitted by law, neither party is liable to the other for indirect or consequential business loss that was not reasonably foreseeable. No exclusion, cap or disclaimer applies where prohibited by law or to fraud, wilful misconduct, death or personal injury caused by negligence, breach of confidentiality or data duties, intellectual-property infringement, tax liability, payment amounts due, indemnity obligations, or mandatory consumer rights. Nothing in this Agreement excuses Mandyal Travels from liability that arises from Mandyal Travels' own acts, omissions or statutory duties.</w:t>
      </w:r>
    </w:p>
    <w:p>
      <w:pPr>
        <w:pStyle w:val="Heading1"/>
        <w:keepNext/>
      </w:pPr>
      <w:r>
        <w:t>11  Monitoring suspension and termination</w:t>
      </w:r>
    </w:p>
    <w:p>
      <w:pPr>
        <w:keepLines/>
      </w:pPr>
      <w:r>
        <w:t>Mandyal Travels may review records, conduct proportionate audits, use test bookings and require corrective action. Mandyal Travels may immediately pause a listing, payment or account where evidence indicates identity fraud, expired authority, unsafe conditions, a serious incident, customer risk, sanctions concern, data compromise or legal breach. Except where urgent action is required, Mandyal Travels will state the material reason and allow a reasonable response.</w:t>
      </w:r>
    </w:p>
    <w:p>
      <w:pPr>
        <w:pStyle w:val="ListBullet"/>
        <w:keepLines/>
      </w:pPr>
      <w:r>
        <w:t>Either party may terminate on 30 days' written notice after active bookings are protected.</w:t>
      </w:r>
    </w:p>
    <w:p>
      <w:pPr>
        <w:pStyle w:val="ListBullet"/>
        <w:keepLines/>
      </w:pPr>
      <w:r>
        <w:t>A material breach not cured within seven days after notice permits termination; fraud, illegality or serious safety risk permits immediate termination.</w:t>
      </w:r>
    </w:p>
    <w:p>
      <w:pPr>
        <w:pStyle w:val="ListBullet"/>
        <w:keepLines/>
      </w:pPr>
      <w:r>
        <w:t>Termination does not cancel accrued payments, refunds, claims, record-retention duties, confidentiality, indemnities or active customer protections.</w:t>
      </w:r>
    </w:p>
    <w:p>
      <w:pPr>
        <w:pStyle w:val="Heading1"/>
        <w:keepNext/>
      </w:pPr>
      <w:r>
        <w:t>12  Confidentiality intellectual property and communications</w:t>
      </w:r>
    </w:p>
    <w:p>
      <w:pPr>
        <w:keepLines/>
      </w:pPr>
      <w:r>
        <w:t>Each party must protect the other's non-public business, technical and customer information and use it only for this relationship. The Partner grants Mandyal Travels a non-exclusive, revocable licence during the term to display approved names, marks, descriptions and media for listings and bookings. The Partner warrants it owns or is authorised to use them. Notices may be sent to the verified registered email. Operational notices are effective when delivered; formal breach or termination notices should also be recorded in the partner dashboard or sent by a traceable delivery method.</w:t>
      </w:r>
    </w:p>
    <w:p>
      <w:pPr>
        <w:pStyle w:val="Heading1"/>
        <w:keepNext/>
      </w:pPr>
      <w:r>
        <w:t>13  Law disputes and general terms</w:t>
      </w:r>
    </w:p>
    <w:p>
      <w:pPr>
        <w:keepLines/>
      </w:pPr>
      <w:r>
        <w:t>For this Agreement, Applicable Law includes mandatory central, state, union-territory and local law connected with the place where the service is performed, the Partner is established, a property or route is located, staff work, tax is due, data is processed, or customers are deliberately targeted. It also includes mandatory foreign law where a recognised territorial or regulatory connection exists. Contract interpretation is governed by Indian law, subject always to non-waivable rights and forums.</w:t>
      </w:r>
    </w:p>
    <w:p>
      <w:pPr>
        <w:keepLines/>
      </w:pPr>
      <w:r>
        <w:t>The parties will first attempt good-faith resolution through authorised representatives for 30 days. A commercial dispute not resolved may be referred to a sole arbitrator mutually appointed under the Arbitration and Conciliation Act, 1996; the seat and venue will be Mandi, Himachal Pradesh and proceedings will be in English. If the parties do not agree on appointment, the statutory appointment procedure applies. Courts at Mandi have supervisory jurisdiction, subject to any mandatory forum or territorial rule. This clause does not prevent urgent interim relief or restrict a consumer's statutory remedies.</w:t>
      </w:r>
    </w:p>
    <w:p>
      <w:pPr>
        <w:keepLines/>
      </w:pPr>
      <w:r>
        <w:t>The Partner may not assign or subcontract material duties without prior written approval and remains liable for approved subcontractors. If a provision is invalid, it is limited or severed to the minimum extent necessary. Failure to enforce is not waiver. Amendments must be recorded in writing or through a clearly identified versioned electronic acceptance. This Agreement, its schedules and accepted commercial terms form the entire agreement for the subject matter.</w:t>
      </w:r>
    </w:p>
    <w:p>
      <w:r>
        <w:br w:type="page"/>
      </w:r>
    </w:p>
    <w:p>
      <w:pPr>
        <w:pStyle w:val="Heading1"/>
      </w:pPr>
      <w:r>
        <w:t>14  Car compliance and evidence schedule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Control area</w:t>
            </w:r>
          </w:p>
        </w:tc>
        <w:tc>
          <w:tcPr>
            <w:tcW w:type="dxa" w:w="482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Partner obligation</w:t>
            </w:r>
          </w:p>
        </w:tc>
        <w:tc>
          <w:tcPr>
            <w:tcW w:type="dxa" w:w="266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Record and audit production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Operator authority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Hold every licence required for the fleet, taxi, contract-carriage, rent-a-cab or self-drive model offered.</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licence number, issuer and expiry; retain business and operating authority; produce on audit.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Vehicle legality</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Use only registered, taxed, permitted and roadworthy vehicles authorised for commercial passenger use.</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Register vehicle metadata; retain RC, permit, fitness, PUC and tax records; produce on audit or roadside/regulator demand.</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Insurance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compulsory third-party and appropriate vehicle, passenger and liability cover.</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policy metadata; retain schedule and paid-premium evidence; Mandyal Travels may inspect before activation or after a claim.</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Driver controls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Use appropriately licensed, verified, trained and fit drivers.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Verify driver identity before access; retain licence/badge, lawful background check and training records;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Trip integrity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Match confirmed vehicle class, driver, fare, pickup and route; record substitutions and consent.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trip sheet, dispatch/GPS record where lawful, fare breakdown and support log; produce for complaint/audit.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Safety equipment</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required safety, emergency and tracking equipment in working condition.</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inspection, first-aid/fire and SOS/GPS test records; produce immediately for safety review.</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Accident response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Prioritise rescue and care, notify authorities/insurer, preserve evidence and arrange safe onward travel.</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accident SOP, insurer contacts, incident form and replacement plan; deliver incident evidence within 24 hours.</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Aggregator rules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Where section 93 and state adoption apply, comply with the 2025 Aggregator Guidelines and licence conditions.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applicability; retain aggregator/fleet linkage and state-compliance records; produce to the competent authority.</w:t>
            </w:r>
          </w:p>
        </w:tc>
      </w:tr>
    </w:tbl>
    <w:p>
      <w:pPr>
        <w:spacing w:after="0"/>
      </w:pPr>
    </w:p>
    <w:p>
      <w:pPr>
        <w:pStyle w:val="Heading1"/>
        <w:keepNext/>
      </w:pPr>
      <w:r>
        <w:t>15  Digital application acknowledgement</w:t>
      </w:r>
    </w:p>
    <w:p>
      <w:pPr>
        <w:keepLines/>
      </w:pPr>
      <w:r>
        <w:t>The following acknowledgements must be presented separately and unticked on the application screen. The applicant must actively select every item before submission. A single preselected blanket consent is not sufficient for this workflow.</w:t>
      </w:r>
    </w:p>
    <w:p>
      <w:pPr>
        <w:ind w:left="72" w:hanging="29"/>
        <w:keepLines/>
      </w:pPr>
      <w:r>
        <w:rPr>
          <w:rFonts w:ascii="Aptos" w:hAnsi="Aptos"/>
          <w:b/>
          <w:color w:val="12395B"/>
          <w:sz w:val="21"/>
        </w:rPr>
        <w:t xml:space="preserve">[  ]  </w:t>
      </w:r>
      <w:r>
        <w:rPr>
          <w:rFonts w:ascii="Aptos" w:hAnsi="Aptos"/>
          <w:color w:val="1F2937"/>
          <w:sz w:val="21"/>
        </w:rPr>
        <w:t>I am authorised to bind the car operator identified in this application.</w:t>
      </w:r>
    </w:p>
    <w:p>
      <w:pPr>
        <w:ind w:left="72" w:hanging="29"/>
        <w:keepLines/>
      </w:pPr>
      <w:r>
        <w:rPr>
          <w:rFonts w:ascii="Aptos" w:hAnsi="Aptos"/>
          <w:b/>
          <w:color w:val="12395B"/>
          <w:sz w:val="21"/>
        </w:rPr>
        <w:t xml:space="preserve">[  ]  </w:t>
      </w:r>
      <w:r>
        <w:rPr>
          <w:rFonts w:ascii="Aptos" w:hAnsi="Aptos"/>
          <w:color w:val="1F2937"/>
          <w:sz w:val="21"/>
        </w:rPr>
        <w:t>I have read the complete agreement and understand that submission does not activate the account.</w:t>
      </w:r>
    </w:p>
    <w:p>
      <w:pPr>
        <w:ind w:left="72" w:hanging="29"/>
        <w:keepLines/>
      </w:pPr>
      <w:r>
        <w:rPr>
          <w:rFonts w:ascii="Aptos" w:hAnsi="Aptos"/>
          <w:b/>
          <w:color w:val="12395B"/>
          <w:sz w:val="21"/>
        </w:rPr>
        <w:t xml:space="preserve">[  ]  </w:t>
      </w:r>
      <w:r>
        <w:rPr>
          <w:rFonts w:ascii="Aptos" w:hAnsi="Aptos"/>
          <w:color w:val="1F2937"/>
          <w:sz w:val="21"/>
        </w:rPr>
        <w:t>The identity proof and signing-authority evidence supplied is genuine, current and belongs to the authorised signatory.</w:t>
      </w:r>
    </w:p>
    <w:p>
      <w:pPr>
        <w:ind w:left="72" w:hanging="29"/>
        <w:keepLines/>
      </w:pPr>
      <w:r>
        <w:rPr>
          <w:rFonts w:ascii="Aptos" w:hAnsi="Aptos"/>
          <w:b/>
          <w:color w:val="12395B"/>
          <w:sz w:val="21"/>
        </w:rPr>
        <w:t xml:space="preserve">[  ]  </w:t>
      </w:r>
      <w:r>
        <w:rPr>
          <w:rFonts w:ascii="Aptos" w:hAnsi="Aptos"/>
          <w:color w:val="1F2937"/>
          <w:sz w:val="21"/>
        </w:rPr>
        <w:t>Every licence, permit, tax, insurance, safety and operational record declared in the application is genuine, current, retained under my control and will be produced within the time required by this agreement for any lawful audit or investigation.</w:t>
      </w:r>
    </w:p>
    <w:p>
      <w:pPr>
        <w:ind w:left="72" w:hanging="29"/>
        <w:keepLines/>
      </w:pPr>
      <w:r>
        <w:rPr>
          <w:rFonts w:ascii="Aptos" w:hAnsi="Aptos"/>
          <w:b/>
          <w:color w:val="12395B"/>
          <w:sz w:val="21"/>
        </w:rPr>
        <w:t xml:space="preserve">[  ]  </w:t>
      </w:r>
      <w:r>
        <w:rPr>
          <w:rFonts w:ascii="Aptos" w:hAnsi="Aptos"/>
          <w:color w:val="1F2937"/>
          <w:sz w:val="21"/>
        </w:rPr>
        <w:t>I accept electronic delivery of the versioned agreement and operational notices to the registered email address.</w:t>
      </w:r>
    </w:p>
    <w:p>
      <w:pPr>
        <w:ind w:left="72" w:hanging="29"/>
        <w:keepLines/>
      </w:pPr>
      <w:r>
        <w:rPr>
          <w:rFonts w:ascii="Aptos" w:hAnsi="Aptos"/>
          <w:b/>
          <w:color w:val="12395B"/>
          <w:sz w:val="21"/>
        </w:rPr>
        <w:t xml:space="preserve">[  ]  </w:t>
      </w:r>
      <w:r>
        <w:rPr>
          <w:rFonts w:ascii="Aptos" w:hAnsi="Aptos"/>
          <w:color w:val="1F2937"/>
          <w:sz w:val="21"/>
        </w:rPr>
        <w:t>I will print or validly e-sign the emailed agreement, sign through an authorised representative, apply the business stamp if available, and return the complete copy from the registered email address.</w:t>
      </w:r>
    </w:p>
    <w:p>
      <w:pPr>
        <w:ind w:left="72" w:hanging="29"/>
        <w:keepLines/>
      </w:pPr>
      <w:r>
        <w:rPr>
          <w:rFonts w:ascii="Aptos" w:hAnsi="Aptos"/>
          <w:b/>
          <w:color w:val="12395B"/>
          <w:sz w:val="21"/>
        </w:rPr>
        <w:t xml:space="preserve">[  ]  </w:t>
      </w:r>
      <w:r>
        <w:rPr>
          <w:rFonts w:ascii="Aptos" w:hAnsi="Aptos"/>
          <w:color w:val="1F2937"/>
          <w:sz w:val="21"/>
        </w:rPr>
        <w:t>I understand that Mandyal Travels may reject, suspend or request more evidence, and that no listing or booking may go live until written approval.</w:t>
      </w:r>
    </w:p>
    <w:p>
      <w:pPr>
        <w:ind w:left="72" w:hanging="29"/>
        <w:keepLines/>
      </w:pPr>
      <w:r>
        <w:rPr>
          <w:rFonts w:ascii="Aptos" w:hAnsi="Aptos"/>
          <w:b/>
          <w:color w:val="12395B"/>
          <w:sz w:val="21"/>
        </w:rPr>
        <w:t xml:space="preserve">[  ]  </w:t>
      </w:r>
      <w:r>
        <w:rPr>
          <w:rFonts w:ascii="Aptos" w:hAnsi="Aptos"/>
          <w:color w:val="1F2937"/>
          <w:sz w:val="21"/>
        </w:rPr>
        <w:t>I will notify Mandyal Travels of any material change, serious incident, licence or insurance lapse, ownership change, or suspected data breach within the time required by this agreement.</w:t>
      </w:r>
    </w:p>
    <w:p>
      <w:pPr>
        <w:ind w:left="72" w:hanging="29"/>
        <w:keepLines/>
      </w:pPr>
      <w:r>
        <w:rPr>
          <w:rFonts w:ascii="Aptos" w:hAnsi="Aptos"/>
          <w:b/>
          <w:color w:val="12395B"/>
          <w:sz w:val="21"/>
        </w:rPr>
        <w:t xml:space="preserve">[  ]  </w:t>
      </w:r>
      <w:r>
        <w:rPr>
          <w:rFonts w:ascii="Aptos" w:hAnsi="Aptos"/>
          <w:color w:val="1F2937"/>
          <w:sz w:val="21"/>
        </w:rPr>
        <w:t>I accept primary responsibility for lawful and safe delivery of the service and the conduct of personnel and subcontractors under my control.</w:t>
      </w:r>
    </w:p>
    <w:p>
      <w:pPr>
        <w:pStyle w:val="Heading1"/>
        <w:keepNext/>
      </w:pPr>
      <w:r>
        <w:t>16  Email and approval workflow</w:t>
      </w:r>
    </w:p>
    <w:p>
      <w:pPr>
        <w:keepLines/>
      </w:pPr>
      <w:r>
        <w:t>After submission, Mandyal Travels should send a locked, versioned copy of this Agreement from support@mandyaltravels.com to the verified partner email, showing the application reference, partner legal name and document version. The applicant should return the complete signed copy from that same verified email. A reply such as 'accepted' without the signed document is not sufficient for activation. Mandyal Travels should record the delivery timestamp, agreement hash or immutable version identifier, checkbox consent log, IP/device metadata where lawful, returned file, review notes and approval decision. The account remains pending until a named administrator records approval.</w:t>
      </w:r>
    </w:p>
    <w:p>
      <w:pPr>
        <w:pStyle w:val="ListBullet"/>
        <w:keepLines/>
      </w:pPr>
      <w:r>
        <w:t>If the signed copy is not returned within 15 days, the application may expire and require fresh confirmation.</w:t>
      </w:r>
    </w:p>
    <w:p>
      <w:pPr>
        <w:pStyle w:val="ListBullet"/>
        <w:keepLines/>
      </w:pPr>
      <w:r>
        <w:t>Material changes to the agreement require a new version and fresh acceptance; silent or pre-ticked consent is not permitted.</w:t>
      </w:r>
    </w:p>
    <w:p>
      <w:pPr>
        <w:pStyle w:val="ListBullet"/>
        <w:keepLines/>
      </w:pPr>
      <w:r>
        <w:t>Mandyal Travels may require wet-ink signature, recognised electronic signature, notarisation or applicable e-stamping based on the transaction and state law.</w:t>
      </w:r>
    </w:p>
    <w:p>
      <w:pPr>
        <w:pStyle w:val="ListBullet"/>
        <w:keepLines/>
      </w:pPr>
      <w:r>
        <w:t>The verified partner email and phone must be re-verified before bank-detail, ownership or authorised-signatory changes take effect.</w:t>
      </w:r>
    </w:p>
    <w:p>
      <w:pPr>
        <w:pStyle w:val="Heading1"/>
        <w:keepNext/>
      </w:pPr>
      <w:r>
        <w:t>17  Execution</w:t>
      </w:r>
    </w:p>
    <w:p>
      <w:pPr>
        <w:keepLines/>
      </w:pPr>
      <w:r>
        <w:t>The signatories confirm that they have authority, received the complete Agreement, had an opportunity to obtain independent advice, and intend to be legally bound when Mandyal Travels accepts the completed document. The parties will arrange applicable stamp duty or e-stamping as advised for the place and manner of execution.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the Partner</w:t>
            </w:r>
          </w:p>
        </w:tc>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Mandyal Travels Services Private Limited</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Mandyal Travels Services Private Limited</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Business stamp if available</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Company stamp if used</w:t>
            </w:r>
          </w:p>
        </w:tc>
      </w:tr>
    </w:tbl>
    <w:p>
      <w:pPr>
        <w:spacing w:after="0"/>
      </w:pPr>
    </w:p>
    <w:p>
      <w:r>
        <w:br w:type="page"/>
      </w:r>
    </w:p>
    <w:p>
      <w:pPr>
        <w:pStyle w:val="Heading1"/>
        <w:keepNext/>
      </w:pPr>
      <w:r>
        <w:t>18  Official legal reference schedule</w:t>
      </w:r>
    </w:p>
    <w:p>
      <w:pPr>
        <w:keepLines/>
      </w:pPr>
      <w:r>
        <w:t>This non-exhaustive reference list identifies the principal framework used for this review draft. It is not a representation that every listed law applies to every Partner or that every possible law has been listed. The Partner must identify and comply with all central, state, union-territory, local and mandatory foreign laws that apply to its actual service, location, route, licences, customers, data processing and operating model, including amendments. Locally qualified legal review is required before launching in a new state, union territory or foreign jurisdiction. International standards below are risk-management benchmarks unless incorporated into applicable law or a binding commitment.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Subject</w:t>
            </w:r>
          </w:p>
        </w:tc>
        <w:tc>
          <w:tcPr>
            <w:tcW w:type="dxa" w:w="691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Reference</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Contract and electronic execution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Indian Contract Act, 1872; Information Technology Act, 2000, including legal recognition of electronic records, electronic signatures and electronically formed contracts.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Consumers and e-commerce</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 Protection Act, 2019; Consumer Protection (E-Commerce) Rules, 2020 and 2021 amendment; applicable CCPA guidelines on misleading advertisements and dark patterns.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Personal data and security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Digital Personal Data Protection Act, 2023 and provisions of the Digital Personal Data Protection Rules, 2025 as and when commenced under their phased commencement, plus continuing applicable information-security and cyber-incident requirements.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Tax and invoicing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Central Goods and Services Tax Act, 2017 and applicable GST rules, notifications and state GST law.</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State, UT and local controls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tourism, accommodation, municipal, planning, building, fire, sanitation, food, labour, shops and establishments, police reporting, transport, permit, route, tax and public-health law for every service location.</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customers and targeting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Mandatory foreign consumer, privacy, accessibility, sanctions, e-commerce and travel-service requirements only where legally applicable through establishment, service location, deliberate targeting, monitoring, data processing, contract or another recognised territorial connection; GDPR Article 3 is one example of a territorial-scope test.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Cross-border payments and sanctions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Exchange Management Act, 1999; lawful payment-channel, sanctions, anti-money-laundering, tax and reporting requirements applicable to cross-border receipts, refunds and settlements.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Children and vulnerable travellers</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child-protection, trafficking, sexual-offence, workplace-safety, anti-harassment, equality and accessibility law; UN travel-and-tourism child-protection resources may be used as a non-binding safety benchmark.</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International tourist protection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UN Tourism International Code for the Protection of Tourists may be used as a non-binding reference for emergency assistance, information, fair treatment and cross-border cooperation, without displacing applicable law.</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Dispute resolution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Arbitration and Conciliation Act, 1996, without excluding consumer or other mandatory statutory forums.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Execution and stamp duty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central and state stamp law and rules for the place, instrument and manner of execution; electronic execution remains subject to any document-specific exclusion or formality.</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Passenger transport</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Motor Vehicles Act, 1988; Central Motor Vehicles Rules, 1989; applicable state motor vehicle rules, permit conditions, tax, fitness, pollution, driver and insurance requirements.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Aggregator model</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Motor Vehicle Aggregator Guidelines, 2025 and state adoption/licensing directions where Mandyal Travels' or the Partner's actual operating model falls within section 93 of the Motor Vehicles Act, 1988.</w:t>
            </w:r>
          </w:p>
        </w:tc>
      </w:tr>
    </w:tbl>
    <w:p>
      <w:pPr>
        <w:spacing w:after="0"/>
      </w:pPr>
    </w:p>
    <w:sectPr w:rsidR="00FC693F" w:rsidRPr="0006063C" w:rsidSect="00034616">
      <w:headerReference w:type="default" r:id="rId9"/>
      <w:footerReference w:type="default" r:id="rId10"/>
      <w:pgSz w:w="12240" w:h="15840"/>
      <w:pgMar w:top="1325" w:right="1152" w:bottom="1037" w:left="1152"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Mandyal Travels Services Private Limited  |  CIN U49221HP2026PTC012778  |  support@mandyaltravels.com  |  www.mandyaltravels.com  |  Page </w:t>
    </w:r>
    <w:r>
      <w:rPr>
        <w:rFonts w:ascii="Aptos" w:hAnsi="Aptos"/>
        <w:color w:val="5B6573"/>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5256"/>
    </w:tblGrid>
    <w:tr>
      <w:tc>
        <w:tcPr>
          <w:tcW w:type="dxa" w:w="4680"/>
          <w:tcMar>
            <w:top w:w="30" w:type="dxa"/>
            <w:start w:w="0" w:type="dxa"/>
            <w:bottom w:w="30" w:type="dxa"/>
            <w:end w:w="0" w:type="dxa"/>
          </w:tcMar>
          <w:vAlign w:val="center"/>
        </w:tcPr>
        <w:p>
          <w:r>
            <w:drawing>
              <wp:inline xmlns:a="http://schemas.openxmlformats.org/drawingml/2006/main" xmlns:pic="http://schemas.openxmlformats.org/drawingml/2006/picture">
                <wp:extent cx="2331720" cy="519534"/>
                <wp:docPr id="1" name="Picture 1"/>
                <wp:cNvGraphicFramePr>
                  <a:graphicFrameLocks noChangeAspect="1"/>
                </wp:cNvGraphicFramePr>
                <a:graphic>
                  <a:graphicData uri="http://schemas.openxmlformats.org/drawingml/2006/picture">
                    <pic:pic>
                      <pic:nvPicPr>
                        <pic:cNvPr id="0" name="mandyal-travels-signature.png"/>
                        <pic:cNvPicPr/>
                      </pic:nvPicPr>
                      <pic:blipFill>
                        <a:blip r:embed="rId1"/>
                        <a:stretch>
                          <a:fillRect/>
                        </a:stretch>
                      </pic:blipFill>
                      <pic:spPr>
                        <a:xfrm>
                          <a:off x="0" y="0"/>
                          <a:ext cx="2331720" cy="519534"/>
                        </a:xfrm>
                        <a:prstGeom prst="rect"/>
                      </pic:spPr>
                    </pic:pic>
                  </a:graphicData>
                </a:graphic>
              </wp:inline>
            </w:drawing>
          </w:r>
        </w:p>
      </w:tc>
      <w:tc>
        <w:tcPr>
          <w:tcW w:type="dxa" w:w="5256"/>
          <w:tcMar>
            <w:top w:w="30" w:type="dxa"/>
            <w:start w:w="0" w:type="dxa"/>
            <w:bottom w:w="30" w:type="dxa"/>
            <w:end w:w="0" w:type="dxa"/>
          </w:tcMar>
          <w:vAlign w:val="center"/>
        </w:tcPr>
        <w:p>
          <w:pPr>
            <w:jc w:val="right"/>
          </w:pPr>
          <w:r>
            <w:rPr>
              <w:rFonts w:ascii="Aptos" w:hAnsi="Aptos"/>
              <w:b/>
              <w:color w:val="12395B"/>
              <w:sz w:val="18"/>
            </w:rPr>
            <w:t>Car Partner Agreement</w:t>
            <w:br/>
          </w:r>
          <w:r>
            <w:rPr>
              <w:rFonts w:ascii="Aptos" w:hAnsi="Aptos"/>
              <w:color w:val="5B6573"/>
              <w:sz w:val="15"/>
            </w:rPr>
            <w:t>Review Copy 1.0 | 11 September 2026</w:t>
            <w:br/>
            <w:t>support@mandyaltravels.com  |  www.mandyaltravels.com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