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Hotel and Accommodation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1.0 | 11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current tourism-unit registration and classification where required, property ownership or management authority, approved building/use permissions, fire and life-safety evidence, and food-business registration or licence where food is supplied;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The property is registered with the competent tourism authority where required and is lawfully approved for guest accommodation.</w:t>
      </w:r>
    </w:p>
    <w:p>
      <w:pPr>
        <w:pStyle w:val="ListBullet"/>
        <w:keepLines/>
      </w:pPr>
      <w:r>
        <w:t>Rooms, occupancy limits, accessibility features, amenities, photographs and location are accurate and do not conceal material conditions.</w:t>
      </w:r>
    </w:p>
    <w:p>
      <w:pPr>
        <w:pStyle w:val="ListBullet"/>
        <w:keepLines/>
      </w:pPr>
      <w:r>
        <w:t>Food, water, sanitation, fire, building, labour, alcohol and local police requirements are met where applicable.</w:t>
      </w:r>
    </w:p>
    <w:p>
      <w:pPr>
        <w:pStyle w:val="ListBullet"/>
        <w:keepLines/>
      </w:pPr>
      <w:r>
        <w:t>Guest registers and foreign-national reporting are maintained and submitted as required by applicable law.</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Hotel is responsible for safe premises, guest rooms, common areas, food and beverage operations, pools, lifts, heating, electrical systems, fire protection, security, housekeeping and all personnel or contractors involved in the stay.</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Maintain functioning alarms, extinguishers, exits, evacuation information, emergency lighting and inspection records as legally required.</w:t>
      </w:r>
    </w:p>
    <w:p>
      <w:pPr>
        <w:pStyle w:val="ListBullet"/>
        <w:keepLines/>
      </w:pPr>
      <w:r>
        <w:t>Use trained personnel, lawful access controls and reasonable safeguards against theft, assault, hidden surveillance, harassment and unauthorised room entry.</w:t>
      </w:r>
    </w:p>
    <w:p>
      <w:pPr>
        <w:pStyle w:val="ListBullet"/>
        <w:keepLines/>
      </w:pPr>
      <w:r>
        <w:t>Maintain hygiene, pest control, safe drinking water and food safety; isolate unsafe rooms or facilities immediately.</w:t>
      </w:r>
    </w:p>
    <w:p>
      <w:pPr>
        <w:pStyle w:val="ListBullet"/>
        <w:keepLines/>
      </w:pPr>
      <w:r>
        <w:t>Never overbook knowingly; if relocation is unavoidable, arrange equal or better accommodation and reasonable transport at the Hotel's cost, subject to customer rights.</w:t>
      </w:r>
    </w:p>
    <w:p>
      <w:pPr>
        <w:pStyle w:val="ListBullet"/>
        <w:keepLines/>
      </w:pPr>
      <w:r>
        <w:t>Report death, serious injury, fire, major illness, sexual misconduct allegation, missing person, significant theft or police attendance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Commercial terms, commission, settlement timing, taxes, deductions, refunds and security deposits are those accepted in the applicable order form or partner dashboard. The Partner remains responsible for its own registrations, classification, tax collection, tax invoices, returns and statutory payments. Mandyal Travels may withhold or set off amounts reasonably required for refunds, chargebacks, fraud, tax withholding, penalties attributable to the Partner or unresolved customer claims, with supporting records.</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Hotel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Identity and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Prove the authorised signatory's identity and authority to bind the operator.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Upload government ID and authority evidence at onboarding; retain entity, ownership and property-operation records for 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registration</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current registration/classification required for the accommodation type and location.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number, issuer and expiry; retain certificate and renewals; produce on lawful audit or sooner if Mandyal Travels flags risk.</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Building and fire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Operate only from approved premises with lawful occupancy and functioning fire/life-safety controls.</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status; retain approvals, NOC/equivalent and inspection logs; produce immediately after incident or regulator request.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beverage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the appropriate food-business registration/licence and follow hygiene and allergen controls.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licence metadata; retain FSSAI, inspection and water-quality evidence;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Guest records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guests proportionately, protect identity data and complete legally required guest/foreigner reporting.</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guest-register procedure, privacy notice and applicable foreigner-reporting records; produce lawfully and securely.</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property, fire, public liability, employer/workforce and other appropriate cover.</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insurer, policy number, cover and expiry; retain policy and premium evidence; Mandyal Travels may inspect before going live.</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Rates and refunds</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Publish total price and lawful cancellation terms; follow applicable tourism and consumer law.</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rate card, refund policy, invoice sample and complaint procedure; produce during audit or complaint.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Safety operations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24-hour escalation, evacuation, first aid, incident response and staff training.</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safety-lead, emergency, drill, training and incident records; produce immediately for serious events.</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hotel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Tourism accommodation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Himachal Pradesh Tourism Development and Registration Act, 2002; H.P. Tourism Development and Registration of Tourism Trade Rules, 2012; H.P. Home Stay Rules, 2025 where the property category is a home stay; equivalent state/local law outside Himachal Pradesh.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and guest operations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Food Safety and Standards Act, 2006 and applicable licensing/registration regulations where food is supplied; current foreign-guest reporting, fire, building, sanitation, labour and local police requirements.</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Hotel Partner Agreement</w:t>
            <w:br/>
          </w:r>
          <w:r>
            <w:rPr>
              <w:rFonts w:ascii="Aptos" w:hAnsi="Aptos"/>
              <w:color w:val="5B6573"/>
              <w:sz w:val="15"/>
            </w:rPr>
            <w:t>Review Copy 1.0 | 11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