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color w:val="000000"/>
        </w:rPr>
        <w:t xml:space="preserve">Was ich noch tun muss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K&amp;D Webdesign · Stand 20.08.2026 · in der Reihenfolge, in der es gemacht wird.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Von oben nach unten. Was weiter unten steht, setzt meistens etwas weiter oben voraus. Warum eine Aufgabe drinsteht, steht im Unternehmenskonzept — zum Abhaken braucht man es nicht.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Ladungsfähige Anschrift festlegen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Entscheiden, welche Telefonnummer gilt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Klären: Betreuung 69 € oder 59 € im Monat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Tag 1 festlegen: der Tag, an dem der erste Check übergeben wird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Wochenstunden, feste Tage und Uhrzeiten aufschreiben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Termin mit der Rechtsberatung — mit Datum im Kalender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Vier fertige Befunde freigeben: Sander-Bau, Lindam, Merzenich, Labau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zwei Selbstbeschreibungen schreiben, je ein bis zwei Sätze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DPMA-Markenrecherche auf entgegenstehende Marken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Schriftlicher GbR-Gesellschaftsvertrag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Gewerbeanmeldung, jeder für sich, beim Gewerbeamt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Wovon wir im ersten Jahr leben — schriftlich, mit Betrag und Monaten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IT-Haftpflicht: drei Angebote einholen und abschließen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Steuerberatung: § 19 UStG beibehalten oder verzichten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Separates Konto für die Steuerrücklage einrichten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Domain kd-webdesign.de sichern und die E-Mail einrichten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Vertrag und AGB vorformulieren und prüfen lassen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§ 7 UWG und Datenschutz an eine Fachstelle geben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Art.-14-Datenschutzhinweis als Beilage zum Check formulieren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Verzeichnis von Verarbeitungstätigkeiten anlegen (Art. 30 DSGVO)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Claude-Tarif prüfen: Art.-28-Vertrag vorhanden, was kostet er?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Betriebsliste und Zeitprotokoll anlegen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Zeigeerlaubnis für die Arbeitsproben einholen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Wettbewerberpreise belegen, mit Quelle und Datum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Minderung und Einbehalt der Anzahlung prüfen lassen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KSK-Aufnahme klären — rückwirkende Nachforderung möglich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Fragebogen zur steuerlichen Erfassung über ELSTER einreichen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Eigene Website fertigstellen und den eigenen Katalog bestehen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Pflegebereich und Kontaktformular auf echtem Hosting testen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Übergabemappe als Vorlage anlegen (neun Punkte, Konzept 7.1)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Bauanleitung schreiben, damit es nicht an Kira allein hängt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Preis für einen halben Tag Fotoaufnahmen festlegen, Fotograf fragen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Eine belastbare Zahl zum Fachkräftemangel im Handwerk suchen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Barrierefreiheit: Betroffenheit nach dem BFSG klären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Google-Unternehmensprofil für K&amp;D Webdesign anlegen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Einwandbehandlung ausarbeiten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Screenshots einmal auf einem Rechner ohne Netzsperre prüfen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Overpass-Live-Abruf testen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Leadliste um Gastronomie und Vereine erweitern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Check mitschreiben, ab dem allerersten</w:t>
      </w:r>
      <w:r>
        <w:rPr>
          <w:color w:val="000000"/>
          <w:sz w:val="20"/>
          <w:szCs w:val="20"/>
        </w:rPr>
        <w:t xml:space="preserve"> (laufend)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Fester Termin, 60–90 Minuten, Kennzahlen eintragen</w:t>
      </w:r>
      <w:r>
        <w:rPr>
          <w:color w:val="000000"/>
          <w:sz w:val="20"/>
          <w:szCs w:val="20"/>
        </w:rPr>
        <w:t xml:space="preserve"> (jede Woche)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ersten 20 Checks übergeben, in Touren zu fünf Betrieben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Rentenversicherung: Statusklärung und Befreiungsantrag stellen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40 Checks insgesamt übergeben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Drei Pilotkunden gewinnen, versetzt mit zwei Wochen Abstand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Projekt erfassen, Projekt 1 vor Projekt 2 auswerten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Nach Projekt 3: Paket S behalten oder streichen?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Zweiter Kanal: Betriebe ohne Website ansprechen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AVV-Vorlage für Betreuungskunden erstellen (Art. 28 DSGVO)</w:t>
      </w:r>
      <w:r>
        <w:rPr>
          <w:color w:val="000000"/>
          <w:sz w:val="20"/>
          <w:szCs w:val="20"/>
        </w:rPr>
        <w:t xml:space="preserve"> (vor dem ersten Betreuungsvertrag)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50.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E-Rechnungs-Empfang und revisionssichere Ablage einrichten</w:t>
      </w:r>
      <w:r>
        <w:rPr>
          <w:color w:val="000000"/>
          <w:sz w:val="20"/>
          <w:szCs w:val="20"/>
        </w:rPr>
        <w:t xml:space="preserve"> (vor der ersten Rechnung)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51.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Domainumzug einmal an einer eigenen Domain üben</w:t>
      </w:r>
      <w:r>
        <w:rPr>
          <w:color w:val="000000"/>
          <w:sz w:val="20"/>
          <w:szCs w:val="20"/>
        </w:rPr>
        <w:t xml:space="preserve"> (vor dem ersten Livegang auf Kundendomain)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52.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Sperrliste zum ersten Mal benutzen</w:t>
      </w:r>
      <w:r>
        <w:rPr>
          <w:color w:val="000000"/>
          <w:sz w:val="20"/>
          <w:szCs w:val="20"/>
        </w:rPr>
        <w:t xml:space="preserve"> (am Tag der ersten Absage)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Nummer 1 ist die einzige, die wirklich eilt: Ohne die ladungsfähige Anschrift darf keiner der elf fertigen Checks das Haus verlassen.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2026-08-20T22:18:55.997Z</dcterms:created>
  <dcterms:modified xsi:type="dcterms:W3CDTF">2026-08-20T22:18:55.997Z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