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Was ich noch tun muss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Webgewerk · Stand 20.08.2026 · in der Reihenfolge, in der es gemacht wird.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Von oben nach unten. Was weiter unten steht, setzt meistens etwas weiter oben voraus. Warum eine Aufgabe drinsteht, steht im Unternehmenskonzept — zum Abhaken braucht man es nicht.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Schriftlicher GbR-Gesellschaftsvertrag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Gewerbeanmeldung, jeder für sich, beim Gewerbeamt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Wovon wir im ersten Jahr leben — schriftlich, mit Betrag und Monaten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IT-Haftpflicht: drei Angebote einholen und abschließen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Steuerberatung: § 19 UStG beibehalten oder verzichten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Separates Konto für die Steuerrücklage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 webgewerk.com sichern und die E-Mail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Vertrag und AGB vorformulieren und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§ 7 UWG und Datenschutz an eine Fachstelle geben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Art.-14-Datenschutzhinweis als Beilage zum Check formulieren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Verzeichnis von Verarbeitungstätigkeiten anlegen (Art. 30 DSGVO)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Claude-Tarif prüfen: Art.-28-Vertrag vorhanden, was kostet er?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Betriebsliste und Zeitprotokoll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Zeigeerlaubnis für die Arbeitsproben einholen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Wettbewerberpreise belegen, mit Quelle und Datum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Minderung und Einbehalt der Anzahlung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KSK-Aufnahme klären — rückwirkende Nachforderung möglich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Fragebogen zur steuerlichen Erfassung über ELSTER einreichen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Eigene Website fertigstellen und den eigenen Katalog bestehen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Pflegebereich und Kontaktformular auf echtem Hosting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Übergabemappe als Vorlage anlegen (neun Punkte, Konzept 7.1)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Bauanleitung schreiben, damit es nicht an Kira allein hängt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Preis für einen halben Tag Fotoaufnahmen festlegen, Fotograf fragen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Eine belastbare Zahl zum Fachkräftemangel im Handwerk suchen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Barrierefreiheit: Betroffenheit nach dem BFSG klären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Google-Unternehmensprofil für Webgewerk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Einwandbehandlung ausarbeiten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Screenshots einmal auf einem Rechner ohne Netzsperre prüfen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Overpass-Live-Abruf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Leadliste um Gastronomie und Vereine erweitern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Check mitschreiben, ab dem allerersten</w:t>
      </w:r>
      <w:r>
        <w:rPr>
          <w:color w:val="000000"/>
          <w:sz w:val="20"/>
          <w:szCs w:val="20"/>
        </w:rPr>
        <w:t xml:space="preserve"> (laufend)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Fester Termin, 60–90 Minuten, Kennzahlen eintragen</w:t>
      </w:r>
      <w:r>
        <w:rPr>
          <w:color w:val="000000"/>
          <w:sz w:val="20"/>
          <w:szCs w:val="20"/>
        </w:rPr>
        <w:t xml:space="preserve"> (jede Woche)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ersten 20 Checks übergeben, in Touren zu fünf Betrieben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Rentenversicherung: Statusklärung und Befreiungsantrag stellen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40 Checks insgesamt übergeben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Drei Pilotkunden gewinnen, versetzt mit zwei Wochen Abstand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Projekt erfassen, Projekt 1 vor Projekt 2 auswerten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Nach Projekt 3: Paket S behalten oder streichen?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Zweiter Kanal: Betriebe ohne Website ansprechen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Nummer 1 ist die einzige, die wirklich eilt: Ohne die ladungsfähige Anschrift darf keiner der elf fertigen Checks das Haus verlassen.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2026-08-22T19:26:33.093Z</dcterms:created>
  <dcterms:modified xsi:type="dcterms:W3CDTF">2026-08-22T19:26:33.093Z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