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Webgewerk — Was zu tun ist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Stand 17.08.2026 · alle offenen Punkte aus dem Unternehmenskonzept und dem Konzept-Check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Sortiert nach dem, was blockiert. Was oben steht, hält etwas anderes auf.</w:t>
      </w:r>
    </w:p>
    <w:p>
      <w:pPr>
        <w:spacing w:after="120"/>
      </w:pPr>
    </w:p>
    <w:p>
      <w:pPr>
        <w:spacing w:after="160" w:line="276"/>
      </w:pPr>
      <w:r>
        <w:rPr>
          <w:b/>
          <w:bCs/>
          <w:i w:val="false"/>
          <w:iCs w:val="false"/>
          <w:color w:val="000000"/>
          <w:sz w:val="22"/>
          <w:szCs w:val="22"/>
        </w:rPr>
        <w:t xml:space="preserve">Farben in diesem Dokument: 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0000"/>
          <w:sz w:val="22"/>
          <w:szCs w:val="22"/>
        </w:rPr>
        <w:t xml:space="preserve">Schwarz</w:t>
      </w:r>
      <w:r>
        <w:rPr>
          <w:b w:val="false"/>
          <w:bCs w:val="false"/>
          <w:color w:val="000000"/>
          <w:sz w:val="22"/>
          <w:szCs w:val="22"/>
        </w:rPr>
        <w:t xml:space="preserve"> — geprüft und entschieden.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C00000"/>
          <w:sz w:val="22"/>
          <w:szCs w:val="22"/>
        </w:rPr>
        <w:t xml:space="preserve">Rot</w:t>
      </w:r>
      <w:r>
        <w:rPr>
          <w:b w:val="false"/>
          <w:bCs w:val="false"/>
          <w:color w:val="C00000"/>
          <w:sz w:val="22"/>
          <w:szCs w:val="22"/>
        </w:rPr>
        <w:t xml:space="preserve"> — offen, muss besprochen werden, oder nicht optimal.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color w:val="0070C0"/>
          <w:sz w:val="22"/>
          <w:szCs w:val="22"/>
        </w:rPr>
        <w:t xml:space="preserve">Blau</w:t>
      </w:r>
      <w:r>
        <w:rPr>
          <w:b w:val="false"/>
          <w:bCs w:val="false"/>
          <w:color w:val="0070C0"/>
          <w:sz w:val="22"/>
          <w:szCs w:val="22"/>
        </w:rPr>
        <w:t xml:space="preserve"> — im Gespräch vom 16./17.08.2026 neu hinzugekommen.</w:t>
      </w:r>
    </w:p>
    <w:p>
      <w:pPr>
        <w:spacing w:after="120"/>
      </w:pP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K = Kira · Y = Yannik · K+Y = beide · C = Claude</w:t>
      </w:r>
    </w:p>
    <w:p>
      <w:pPr>
        <w:spacing w:after="120"/>
      </w:pPr>
    </w:p>
    <w:p>
      <w:pPr>
        <w:pStyle w:val="Heading1"/>
        <w:spacing w:after="120" w:before="320"/>
      </w:pPr>
      <w:r>
        <w:rPr>
          <w:color w:val="C00000"/>
        </w:rPr>
        <w:t xml:space="preserve">Blockiert alles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C00000"/>
          <w:sz w:val="22"/>
          <w:szCs w:val="22"/>
        </w:rPr>
        <w:t xml:space="preserve">Die ladungsfähige Anschrift fehlt. Ohne sie trägt jeder Check einen roten Sperrbalken (§ 5 DDG) und darf nicht übergeben werden. Elf fertige Pakete warten nur darauf. Es ist eine Entscheidung, keine Recherche — und sie dauert fünf Minuten.</w:t>
      </w:r>
    </w:p>
    <w:p>
      <w:pPr>
        <w:pStyle w:val="Heading1"/>
        <w:spacing w:after="120" w:before="320"/>
      </w:pPr>
      <w:r>
        <w:rPr>
          <w:color w:val="000000"/>
        </w:rPr>
        <w:t xml:space="preserve">1 · Diese Woche — Entscheidungen, keine Arbeit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Alles hier sind Festlegungen, die nichts kosten außer einem Entschluss, und von denen anderes abhängt.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Ladungsfähige Anschrift festlegen und in absender.json eintragen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danach fallen die Sperrbalken auf allen elf Checks und auf der Firmenseite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Entscheiden, welche Telefonnummer gilt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bisher zwei im Umlauf: 0152 01560005 und 0162 3242260. Auf einem gedruckten Blatt ist eine falsche Nummer der teuerste Fehler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Klären: Betreuung 69 € oder 59 € im Monat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im Konzept stehen 69 €, am 17.08. fiel die Zahl 59. Bestätigen, bevor sie auf ein Angebot kommt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Die zwei Selbstbeschreibungen schreiben, je ein bis zwei Sätze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solange sie fehlen, steht auf der eigenen Seite Platzhaltertext — Prüfpunkt 15, an der eigenen Seite gerissen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Vier fertige Befunde freigeben: Sander-Bau, Lindam, Merzenich, Labau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Pipeline reproduziert alle vier, die Freigabe steht aus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Termin mit der Rechtsberatung in der Familie vereinbaren — mit festem Datum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unentgeltliche Hilfe hat keine Rechnung und deshalb keinen Druck. Sie ist das Erste, was liegen bleibt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Pflegebereich und Kontaktformular auf echtem Hosting testen — vor allem, ob der Mailversand ankommt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entschieden und gebaut (studie/pflege). Offen ist nur der Test auf einem Tarif eines Kunden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2 · Vorlauf — rund sechs Wochen bis Tag 1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Tag 1 ist der Tag, an dem der erste Check übergeben wird. Alles hier muss vorher stehen.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Verfügbare Wochenstunden, feste Tage und Uhrzeiten schriftlich festhalten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ohne diese Zahl ist die Wirtschaftlichkeit nicht rechenbar und der 90-Tage-Plan nicht planbar. Der wichtigste offene Punkt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Wovon wir im ersten Jahr leben — schriftlich, mit Betrag und Monaten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das Neugeschäft bringt im ersten Jahr 21–44 € je Arbeitsstunde. Wer das nicht vorher weiß, hört nach dem dritten Kunden auf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Schriftlicher GbR-Gesellschaftsvertrag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Gewinnverteilung, Geschäftsführung, Kündigung, Ausscheiden, Umgang mit laufenden Kundenverträgen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Gewerbeanmeldung je Gesellschafter beim Gewerbeamt der Wohnsitzgemeinde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Vermögensschaden-/IT-Haftpflicht: drei Angebote einholen, abschließen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300–700 €/Jahr. Bei unbeschränkter Privathaftung nicht optional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Vertrag und AGB vorformulieren und prüfen lassen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Abnahme mit Rügefrist und Eskalation, Mahnwesen, Rechte an übernommenen Texten, Herausgabe bei Ende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§ 7 UWG und die DSGVO-Kette bis Anthropic an eine Fachstelle geben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falls die Familienberatung dort nicht zu Hause ist — beides sind Spezialgebiete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Domain sichern und geschäftliche E-Mail einrichten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Stand 13.08.: webgewerk.de ist registriert und geparkt, webgewerk.com frei. Bei denic.de/webwhois nach dem Halter fragen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DPMA-Markenrecherche auf entgegenstehende Marken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Formulardienst mit EU-Serverstandort und AV-Vertrag auswählen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ohne ihn ist kein Projekt auslieferbar — der Kontaktweg ist Prüfpunkt 6 des eigenen Katalogs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Verzeichnis von Verarbeitungstätigkeiten anlegen (Art. 30 DSGVO)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Bauanleitung schreiben, damit die Produktion nicht an einer Person hängt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derzeit kann nur Kira produzieren. Fällt sie aus, steht alles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Betriebsliste mit Sperrlisten-Spalte und Wiedervorlage sowie Zeitprotokoll anlegen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Art.-14-Datenschutzhinweis als Beilage zum Check formulieren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Von den Arbeitsproben schriftliche Zeigeerlaubnis einholen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zwei Sätze per Mail. Ohne sie wird nichts gezeigt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Wettbewerberpreise belegen: sieben Angebotsseiten, Preis und Abrufdatum, Screenshot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rund eine Stunde. Danach steht fest, ob wirklich IONOS und STRATO der Hauptgegner sind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Eine belastbare Zahl zum Fachkräftemangel suchen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nützlich fürs Gespräch, aber nicht mehr die Grundlage — der Betrieb rechnet selbst (Konzept 3.1)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Preis für einen halben Tag Fotoaufnahmen festlegen, Fotograf fragen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Anhaltspunkt: vier bis fünf Stunden zu 70 €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Eigene Website fertigstellen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Impressum und Datenschutz mit Anschrift, Selbstbeschreibungen einsetzen, Sperrbalken entfernen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Entscheiden: lokale Ladezeitmessung oder Googles PageSpeed-API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der Satz „Google bewertet über 4 Sekunden als schlecht“ trägt nur, wenn die Zahl auch von Google kommt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3 · Tag 1 bis 90 — der eigentliche Test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Gemessen wird eins: Wie viele antworten? Die Antwortquote des Kanals ist bis heute ungetestet — Stichprobe eins.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40 Checks übergeben, in Touren zu fünf Betrieben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einzeln ausgefahren wäre die persönliche Übergabe mit dem Zeitziel unvereinbar. Gebündelt fällt die Fahrzeit je Check auf zwölf Minuten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Ist-Zeit je Check mitschreiben, ab dem ersten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der Weg von zwei Stunden auf 45 Minuten verdoppelt den effektiven Stundensatz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Drei Pilotkunden gewinnen, versetzt starten mit rund zwei Wochen Abstand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damit die Auswertung von Projekt 1 vor dem Baubeginn von Projekt 2 steht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Ist-Zeit je Projekt nach Arbeitsschritt erfassen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Projekt 1 auswerten, bevor Projekt 2 beginnt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Wöchentlicher Termin, 60–90 Minuten, Kennzahlen eintragen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fester Punkt: Stimmt der Katalog im Code noch mit Anhang A überein?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Nach Projekt 3: Produktionsvorlage ableiten und entscheiden, ob Paket S bleibt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beworben wird „ab 990 €“, verkauft werden soll M. Entweder S streichen oder zuschneiden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Prüfpunkte 1–5 und 11–13 automatisieren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4 · Pipeline — bekannte Lücken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Feld „gruende“ in die Pipeline: ein bis drei individuelle Gründe je Betrieb, jeder mit Beleg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erscheint im Dossier und im Anschreiben, nie auf dem gedruckten Check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Auswahlregel zweistufig umsetzen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erst filtern, was das Paket behebt, dann nach Schweregrad sortieren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Platzhalter auf Unterseiten werden nicht gefunden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die Handfunde „mehr als ?? Jahren“ (Apeler) und „(Bild in Beratungssituation)“ (Maler Manufaktur) fehlen deshalb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Screenshots einmal auf einem Rechner ohne Netzsperre prüfen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im Container entstehen sie nur bei HTTP-Seiten, also 2 von 11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Overpass-Live-Abruf testen </w:t>
            </w: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 die Container-IP ist gesperrt. Der Weg über overpass-turbo.eu funktioniert und ist geprüft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Google für Jobs als Prüfpunkt aufnehmen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Kostensatz für Prüfpunkt 7 belegen: § 33 DDG nennt einen Bußgeldrahmen bis 50.000 €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Quelle liegt vor, aber die Zahl geht auf ein Blatt, das ein Meister in die Hand bekommt — vorher ein zweites Mal prüfen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5 · Später, aber nicht vergessen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7600"/>
      </w:tblGrid>
      <w:tr>
        <w:trPr>
          <w:tblHeader/>
        </w:trPr>
        <w:tc>
          <w:tcPr>
            <w:tcW w:type="dxa" w:w="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Wer</w:t>
            </w:r>
          </w:p>
        </w:tc>
        <w:tc>
          <w:tcPr>
            <w:tcW w:type="dxa" w:w="7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Google-Unternehmensprofil für Webgewerk anlegen </w:t>
            </w: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— Prüfpunkt 14 verlangt von Kunden, dass Profil und Website übereinstimmen. Wir haben keins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Einwandbehandlung ausarbeiten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die drei Einwände stehen als Entwurf im Konzept 4.4 — verfeinern statt neu anfangen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Zweiter Kanal: Betriebe ohne Website ansprechen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erst nach den ersten 20 Checks, damit sich die Kanäle nicht vermischen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Barrierefreiheit: Betroffenheit nach dem BFSG klären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E-Rechnungs-Empfang und revisionssichere Ablage einrichten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Separates Konto für die Steuerrücklage — 30 % jeder Einnahme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K+Y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DRV-Statusklärung § 7a SGB IV und Befreiungsantrag § 6 Abs. 1a SGB VI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Y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Steuerberatung: § 19 UStG beibehalten oder verzichten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AVV-Vorlage für Betreuungskunden erstellen (Art. 28 DSGVO)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C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0070C0"/>
                <w:sz w:val="20"/>
                <w:szCs w:val="20"/>
              </w:rPr>
              <w:t xml:space="preserve">Die drei überholten Konzeptfassungen löschen oder als überholt kennzeichnen </w:t>
            </w:r>
            <w:r>
              <w:rPr>
                <w:b w:val="false"/>
                <w:bCs w:val="false"/>
                <w:color w:val="0070C0"/>
                <w:sz w:val="20"/>
                <w:szCs w:val="20"/>
              </w:rPr>
              <w:t xml:space="preserve">— vier Dokumente im Umlauf waren der Grund für drei verschiedene Prüfkataloge</w:t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color w:val="000000"/>
        </w:rPr>
        <w:t xml:space="preserve">Erledigt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Konzept überarbeitet: Webgewerk, Preisliste, 19 Prüfpunkte, Hosting beim Kunden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Abnahme mit Rügefrist und Eskalation geregelt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Verfahren für den Domainumzug samt MX-Sicherung ausgearbeitet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Sperrliste, Anlassfilter, Löschfristen, Gründe je Betrieb aufgenommen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Kein zweiter Anruf; Wiedervorlage nur mit neuem Messergebnis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Betriebe ohne Website: eigener kurzer Einstieg statt Ausschluss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Fotos und Texte als Zusatzleistung, Fotograf ohne Provision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17.08. — Kapitalbedarf vollständig beziffert: 995–1.764 €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16.08. — Konzept-Check: 43 Befunde in zwei Durchgängen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15.08. — Impressum und Datenschutz als eigene Seiten, Stil geteilt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15.08. — Prüfkatalog über die eigene Seite gelaufen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14.08. — Fehlendes viewport-Meta gefunden und behoben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13.08. — Firmenname entschieden: Webgewerk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12.08. — Pipeline reproduziert alle vier von Hand erstellten Befunde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color w:val="000000"/>
          <w:sz w:val="22"/>
          <w:szCs w:val="22"/>
        </w:rPr>
        <w:t xml:space="preserve">12.08. — Elf Pakete erzeugt, je fünf Dateien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2026-08-19T12:36:24.099Z</dcterms:created>
  <dcterms:modified xsi:type="dcterms:W3CDTF">2026-08-19T12:36:24.099Z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