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color w:val="000000"/>
        </w:rPr>
        <w:t xml:space="preserve">Webgewerk — Was zu tun ist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Stand 17.08.2026 · alle offenen Punkte aus dem Unternehmenskonzept und dem Konzept-Check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Sortiert nach dem, was blockiert. Was oben steht, hält etwas anderes auf.</w:t>
      </w:r>
    </w:p>
    <w:p>
      <w:pPr>
        <w:spacing w:after="120"/>
      </w:pPr>
    </w:p>
    <w:p>
      <w:pPr>
        <w:spacing w:after="160" w:line="276"/>
      </w:pPr>
      <w:r>
        <w:rPr>
          <w:b/>
          <w:bCs/>
          <w:i w:val="false"/>
          <w:iCs w:val="false"/>
          <w:color w:val="000000"/>
          <w:sz w:val="22"/>
          <w:szCs w:val="22"/>
        </w:rPr>
        <w:t xml:space="preserve">Farben in diesem Dokument: 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000000"/>
          <w:sz w:val="22"/>
          <w:szCs w:val="22"/>
        </w:rPr>
        <w:t xml:space="preserve">Schwarz</w:t>
      </w:r>
      <w:r>
        <w:rPr>
          <w:b w:val="false"/>
          <w:bCs w:val="false"/>
          <w:color w:val="000000"/>
          <w:sz w:val="22"/>
          <w:szCs w:val="22"/>
        </w:rPr>
        <w:t xml:space="preserve"> — geprüft und entschieden.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C00000"/>
          <w:sz w:val="22"/>
          <w:szCs w:val="22"/>
        </w:rPr>
        <w:t xml:space="preserve">Rot</w:t>
      </w:r>
      <w:r>
        <w:rPr>
          <w:b w:val="false"/>
          <w:bCs w:val="false"/>
          <w:color w:val="C00000"/>
          <w:sz w:val="22"/>
          <w:szCs w:val="22"/>
        </w:rPr>
        <w:t xml:space="preserve"> — offen, muss besprochen werden, oder nicht optimal.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0070C0"/>
          <w:sz w:val="22"/>
          <w:szCs w:val="22"/>
        </w:rPr>
        <w:t xml:space="preserve">Blau</w:t>
      </w:r>
      <w:r>
        <w:rPr>
          <w:b w:val="false"/>
          <w:bCs w:val="false"/>
          <w:color w:val="0070C0"/>
          <w:sz w:val="22"/>
          <w:szCs w:val="22"/>
        </w:rPr>
        <w:t xml:space="preserve"> — im Gespräch vom 16./17.08.2026 neu hinzugekommen.</w:t>
      </w:r>
    </w:p>
    <w:p>
      <w:pPr>
        <w:spacing w:after="120"/>
      </w:pP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K = Kira · Y = Yannik · K+Y = beide · C = Claude</w:t>
      </w:r>
    </w:p>
    <w:p>
      <w:pPr>
        <w:spacing w:after="120"/>
      </w:pPr>
    </w:p>
    <w:p>
      <w:pPr>
        <w:pStyle w:val="Heading1"/>
        <w:spacing w:after="120" w:before="320"/>
      </w:pPr>
      <w:r>
        <w:rPr>
          <w:color w:val="C00000"/>
        </w:rPr>
        <w:t xml:space="preserve">Blockiert alles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C00000"/>
          <w:sz w:val="22"/>
          <w:szCs w:val="22"/>
        </w:rPr>
        <w:t xml:space="preserve">Die ladungsfähige Anschrift fehlt. Ohne sie trägt jeder Check einen roten Sperrbalken (§ 5 DDG) und darf nicht übergeben werden. Elf fertige Pakete warten nur darauf. Es ist eine Entscheidung, keine Recherche — und sie dauert fünf Minuten.</w:t>
      </w:r>
    </w:p>
    <w:p>
      <w:pPr>
        <w:pStyle w:val="Heading1"/>
        <w:spacing w:after="120" w:before="320"/>
      </w:pPr>
      <w:r>
        <w:rPr>
          <w:color w:val="000000"/>
        </w:rPr>
        <w:t xml:space="preserve">1 · Diese Woche — Entscheidungen, keine Arbeit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Alles hier sind Festlegungen, die nichts kosten außer einem Entschluss, und von denen anderes abhängt.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00"/>
        <w:gridCol w:w="7600"/>
      </w:tblGrid>
      <w:tr>
        <w:trPr>
          <w:tblHeader/>
        </w:trP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Wer</w:t>
            </w:r>
          </w:p>
        </w:tc>
        <w:tc>
          <w:tcPr>
            <w:tcW w:type="dxa" w:w="7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Ladungsfähige Anschrift festlegen und in absender.json eintragen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danach fallen die Sperrbalken auf allen elf Checks und auf der Firmenseite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Entscheiden, welche Telefonnummer gilt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bisher zwei im Umlauf: 0152 01560005 und 0162 3242260. Auf einem gedruckten Blatt ist eine falsche Nummer der teuerste Fehler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Klären: Betreuung 69 € oder 59 € im Monat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im Konzept stehen 69 €, am 17.08. fiel die Zahl 59. Bestätigen, bevor sie auf ein Angebot kommt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Die zwei Selbstbeschreibungen schreiben, je ein bis zwei Sätze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solange sie fehlen, steht auf der eigenen Seite Platzhaltertext — Prüfpunkt 15, an der eigenen Seite gerissen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Vier fertige Befunde freigeben: Sander-Bau, Lindam, Merzenich, Labau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die Pipeline reproduziert alle vier, die Freigabe steht aus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Termin mit der Rechtsberatung in der Familie vereinbaren — mit festem Datum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unentgeltliche Hilfe hat keine Rechnung und deshalb keinen Druck. Sie ist das Erste, was liegen bleibt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Entscheiden, was der Kunde selbst bedienen kann — drei Wege stehen zur Wahl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hängt technisch am Kontaktformular: beides braucht dieselbe Sorte Endpunkt. Zusammen entscheiden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2 · Vorlauf — rund sechs Wochen bis Tag 1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Tag 1 ist der Tag, an dem der erste Check übergeben wird. Alles hier muss vorher stehen.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00"/>
        <w:gridCol w:w="7600"/>
      </w:tblGrid>
      <w:tr>
        <w:trPr>
          <w:tblHeader/>
        </w:trP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Wer</w:t>
            </w:r>
          </w:p>
        </w:tc>
        <w:tc>
          <w:tcPr>
            <w:tcW w:type="dxa" w:w="7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Verfügbare Wochenstunden, feste Tage und Uhrzeiten schriftlich festhalten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ohne diese Zahl ist die Wirtschaftlichkeit nicht rechenbar und der 90-Tage-Plan nicht planbar. Der wichtigste offene Punkt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Wovon wir im ersten Jahr leben — schriftlich, mit Betrag und Monaten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das Neugeschäft bringt im ersten Jahr 21–44 € je Arbeitsstunde. Wer das nicht vorher weiß, hört nach dem dritten Kunden auf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Schriftlicher GbR-Gesellschaftsvertrag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Gewinnverteilung, Geschäftsführung, Kündigung, Ausscheiden, Umgang mit laufenden Kundenverträgen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Gewerbeanmeldung je Gesellschafter beim Gewerbeamt der Wohnsitzgemeinde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Vermögensschaden-/IT-Haftpflicht: drei Angebote einholen, abschließen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300–700 €/Jahr. Bei unbeschränkter Privathaftung nicht optional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Vertrag und AGB vorformulieren und prüfen lassen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Abnahme mit Rügefrist und Eskalation, Mahnwesen, Rechte an übernommenen Texten, Herausgabe bei Ende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§ 7 UWG und die DSGVO-Kette bis Anthropic an eine Fachstelle geben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falls die Familienberatung dort nicht zu Hause ist — beides sind Spezialgebiete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Domain sichern und geschäftliche E-Mail einrichten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Stand 13.08.: webgewerk.de ist registriert und geparkt, webgewerk.com frei. Bei denic.de/webwhois nach dem Halter fragen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DPMA-Markenrecherche auf entgegenstehende Marken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Formulardienst mit EU-Serverstandort und AV-Vertrag auswählen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ohne ihn ist kein Projekt auslieferbar — der Kontaktweg ist Prüfpunkt 6 des eigenen Katalogs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Verzeichnis von Verarbeitungstätigkeiten anlegen (Art. 30 DSGVO)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Bauanleitung schreiben, damit die Produktion nicht an einer Person hängt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derzeit kann nur Kira produzieren. Fällt sie aus, steht alles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Betriebsliste mit Sperrlisten-Spalte und Wiedervorlage sowie Zeitprotokoll anlegen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Art.-14-Datenschutzhinweis als Beilage zum Check formulieren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Von den Arbeitsproben schriftliche Zeigeerlaubnis einholen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zwei Sätze per Mail. Ohne sie wird nichts gezeigt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Wettbewerberpreise belegen: sieben Angebotsseiten, Preis und Abrufdatum, Screenshot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rund eine Stunde. Danach steht fest, ob wirklich IONOS und STRATO der Hauptgegner sind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Eine belastbare Zahl zum Fachkräftemangel suchen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nützlich fürs Gespräch, aber nicht mehr die Grundlage — der Betrieb rechnet selbst (Konzept 3.1)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Preis für einen halben Tag Fotoaufnahmen festlegen, Fotograf fragen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Anhaltspunkt: vier bis fünf Stunden zu 70 €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Eigene Website fertigstellen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Impressum und Datenschutz mit Anschrift, Selbstbeschreibungen einsetzen, Sperrbalken entfernen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Entscheiden: lokale Ladezeitmessung oder Googles PageSpeed-API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der Satz „Google bewertet über 4 Sekunden als schlecht“ trägt nur, wenn die Zahl auch von Google kommt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3 · Tag 1 bis 90 — der eigentliche Test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Gemessen wird eins: Wie viele antworten? Die Antwortquote des Kanals ist bis heute ungetestet — Stichprobe eins.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00"/>
        <w:gridCol w:w="7600"/>
      </w:tblGrid>
      <w:tr>
        <w:trPr>
          <w:tblHeader/>
        </w:trP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Wer</w:t>
            </w:r>
          </w:p>
        </w:tc>
        <w:tc>
          <w:tcPr>
            <w:tcW w:type="dxa" w:w="7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40 Checks übergeben, in Touren zu fünf Betrieben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einzeln ausgefahren wäre die persönliche Übergabe mit dem Zeitziel unvereinbar. Gebündelt fällt die Fahrzeit je Check auf zwölf Minuten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Ist-Zeit je Check mitschreiben, ab dem ersten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der Weg von zwei Stunden auf 45 Minuten verdoppelt den effektiven Stundensatz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Drei Pilotkunden gewinnen, versetzt starten mit rund zwei Wochen Abstand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damit die Auswertung von Projekt 1 vor dem Baubeginn von Projekt 2 steht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Ist-Zeit je Projekt nach Arbeitsschritt erfassen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Projekt 1 auswerten, bevor Projekt 2 beginnt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Wöchentlicher Termin, 60–90 Minuten, Kennzahlen eintragen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fester Punkt: Stimmt der Katalog im Code noch mit Anhang A überein?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Nach Projekt 3: Produktionsvorlage ableiten und entscheiden, ob Paket S bleibt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beworben wird „ab 990 €“, verkauft werden soll M. Entweder S streichen oder zuschneiden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Prüfpunkte 1–5 und 11–13 automatisieren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4 · Pipeline — bekannte Lücken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00"/>
        <w:gridCol w:w="7600"/>
      </w:tblGrid>
      <w:tr>
        <w:trPr>
          <w:tblHeader/>
        </w:trP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Wer</w:t>
            </w:r>
          </w:p>
        </w:tc>
        <w:tc>
          <w:tcPr>
            <w:tcW w:type="dxa" w:w="7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Feld „gruende“ in die Pipeline: ein bis drei individuelle Gründe je Betrieb, jeder mit Beleg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erscheint im Dossier und im Anschreiben, nie auf dem gedruckten Check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Auswahlregel zweistufig umsetzen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erst filtern, was das Paket behebt, dann nach Schweregrad sortieren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Platzhalter auf Unterseiten werden nicht gefunden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die Handfunde „mehr als ?? Jahren“ (Apeler) und „(Bild in Beratungssituation)“ (Maler Manufaktur) fehlen deshalb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Screenshots einmal auf einem Rechner ohne Netzsperre prüfen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im Container entstehen sie nur bei HTTP-Seiten, also 2 von 11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Overpass-Live-Abruf testen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die Container-IP ist gesperrt. Der Weg über overpass-turbo.eu funktioniert und ist geprüft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Google für Jobs als Prüfpunkt aufnehmen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Kostensatz für Prüfpunkt 7 belegen: § 33 DDG nennt einen Bußgeldrahmen bis 50.000 €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Quelle liegt vor, aber die Zahl geht auf ein Blatt, das ein Meister in die Hand bekommt — vorher ein zweites Mal prüfen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5 · Später, aber nicht vergessen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00"/>
        <w:gridCol w:w="7600"/>
      </w:tblGrid>
      <w:tr>
        <w:trPr>
          <w:tblHeader/>
        </w:trP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Wer</w:t>
            </w:r>
          </w:p>
        </w:tc>
        <w:tc>
          <w:tcPr>
            <w:tcW w:type="dxa" w:w="7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Google-Unternehmensprofil für Webgewerk anlegen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Prüfpunkt 14 verlangt von Kunden, dass Profil und Website übereinstimmen. Wir haben keins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Einwandbehandlung ausarbeiten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die drei Einwände stehen als Entwurf im Konzept 4.4 — verfeinern statt neu anfangen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Zweiter Kanal: Betriebe ohne Website ansprechen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erst nach den ersten 20 Checks, damit sich die Kanäle nicht vermischen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Barrierefreiheit: Betroffenheit nach dem BFSG klären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E-Rechnungs-Empfang und revisionssichere Ablage einrichten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Separates Konto für die Steuerrücklage — 30 % jeder Einnahme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DRV-Statusklärung § 7a SGB IV und Befreiungsantrag § 6 Abs. 1a SGB VI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Steuerberatung: § 19 UStG beibehalten oder verzichten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AVV-Vorlage für Betreuungskunden erstellen (Art. 28 DSGVO)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Die drei überholten Konzeptfassungen löschen oder als überholt kennzeichnen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vier Dokumente im Umlauf waren der Grund für drei verschiedene Prüfkataloge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Erledigt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Konzept überarbeitet: Webgewerk, Preisliste, 19 Prüfpunkte, Hosting beim Kunden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Abnahme mit Rügefrist und Eskalation geregelt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Verfahren für den Domainumzug samt MX-Sicherung ausgearbeitet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Sperrliste, Anlassfilter, Löschfristen, Gründe je Betrieb aufgenommen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Kein zweiter Anruf; Wiedervorlage nur mit neuem Messergebnis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Betriebe ohne Website: eigener kurzer Einstieg statt Ausschluss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Fotos und Texte als Zusatzleistung, Fotograf ohne Provision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Kapitalbedarf vollständig beziffert: 995–1.764 €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16.08. — Konzept-Check: 43 Befunde in zwei Durchgängen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15.08. — Impressum und Datenschutz als eigene Seiten, Stil geteilt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15.08. — Prüfkatalog über die eigene Seite gelaufen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14.08. — Fehlendes viewport-Meta gefunden und behoben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13.08. — Firmenname entschieden: Webgewerk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12.08. — Pipeline reproduziert alle vier von Hand erstellten Befunde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12.08. — Elf Pakete erzeugt, je fünf Dateien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2026-08-16T15:14:19.651Z</dcterms:created>
  <dcterms:modified xsi:type="dcterms:W3CDTF">2026-08-16T15:14:19.651Z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