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C00000"/>
          <w:sz w:val="22"/>
          <w:szCs w:val="22"/>
        </w:rPr>
        <w:t xml:space="preserve">Offen — Kira, vor dem ersten Pilotprojekt: Welcher von drei Wegen es wird, ist nicht entschieden. Der Weg hängt technisch mit dem Kontaktformular zusammen — beides braucht dieselbe Sorte kleinen Endpunkt beim Hoster des Kunden. Zusammen entscheiden, nicht getrennt. Betroffen sind außerdem der Änderungsumfang der Betreuung, das Abhängigkeitsargument im Verkauf und die Anforderung an das Hosting.</w:t>
      </w:r>
    </w:p>
    <w:p>
      <w:pPr>
        <w:spacing w:after="160" w:line="276"/>
      </w:pPr>
      <w:r>
        <w:rPr>
          <w:b w:val="false"/>
          <w:bCs w:val="false"/>
          <w:i w:val="false"/>
          <w:iCs w:val="false"/>
          <w:color w:val="C00000"/>
          <w:sz w:val="22"/>
          <w:szCs w:val="22"/>
        </w:rPr>
        <w:t xml:space="preserve">Offen — Kira, vor dem ersten Pilotprojekt: Kontaktformular. Eine statische Seite hat keinen Server. Es braucht einen Formulardienst mit EU-Serverstandort und AV-Vertrag oder einen eigenen kleinen Endpunkt. Bis das entschieden ist, ist kein Projekt auslieferbar — der Kontaktweg ist Prüfpunkt 6 unseres eigenen Katalogs.</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Bei Livegang übergeben wir schriftlich: Zugangsdaten zu Domain und Hosting, Einladung zum Git-Repository, eine Ein-Seiten-Anleitung, was wo liegt, und die Übergabeliste aus Anhang A — also die Punkte, die der Kunde selbst erledigen muss.</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2026-08-16T15:13:14.818Z</dcterms:created>
  <dcterms:modified xsi:type="dcterms:W3CDTF">2026-08-16T15:13:14.819Z</dcterms:modified>
</cp:coreProperties>
</file>

<file path=docProps/custom.xml><?xml version="1.0" encoding="utf-8"?>
<Properties xmlns="http://schemas.openxmlformats.org/officeDocument/2006/custom-properties" xmlns:vt="http://schemas.openxmlformats.org/officeDocument/2006/docPropsVTypes"/>
</file>