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color w:val="000000"/>
        </w:rPr>
        <w:t xml:space="preserve">Was ich noch tun muss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Webgewerk · Stand 19.08.2026 · in der Reihenfolge, in der es gemacht wird.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Von oben nach unten. Was weiter unten steht, setzt meistens etwas weiter oben voraus. Warum eine Aufgabe drinsteht, steht im Unternehmenskonzept — zum Abhaken braucht man es nicht.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1.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Ladungsfähige Anschrift festlegen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2.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Entscheiden, welche Telefonnummer gilt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3.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Klären: Betreuung 69 € oder 59 € im Monat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4.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Tag 1 festlegen: der Tag, an dem der erste Check übergeben wird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5.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Wochenstunden, feste Tage und Uhrzeiten aufschreiben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6.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Termin mit der Rechtsberatung — mit Datum im Kalender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7.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Vier fertige Befunde freigeben: Sander-Bau, Lindam, Merzenich, Labau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8.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Die zwei Selbstbeschreibungen schreiben, je ein bis zwei Sätze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9.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DPMA-Markenrecherche auf entgegenstehende Marken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10.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Schriftlicher GbR-Gesellschaftsvertrag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11.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Gewerbeanmeldung, jeder für sich, beim Gewerbeamt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12.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Domain webgewerk sichern und geschäftliche E-Mail einrichten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13.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Wovon wir im ersten Jahr leben — schriftlich, mit Betrag und Monaten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14.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IT-Haftpflicht: drei Angebote einholen und abschließen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15.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Steuerberatung: § 19 UStG beibehalten oder verzichten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16.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Separates Konto für die Steuerrücklage einrichten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17.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Vertrag und AGB vorformulieren und prüfen lassen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18.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§ 7 UWG und Datenschutz an eine Fachstelle geben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19.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Art.-14-Datenschutzhinweis als Beilage zum Check formulieren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20.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Verzeichnis von Verarbeitungstätigkeiten anlegen (Art. 30 DSGVO)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21.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Claude-Tarif prüfen: Art.-28-Vertrag vorhanden, was kostet er?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22.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Betriebsliste und Zeitprotokoll anlegen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23.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Zeigeerlaubnis für die Arbeitsproben einholen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24.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Wettbewerberpreise belegen, mit Quelle und Datum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25.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Minderung und Einbehalt der Anzahlung prüfen lassen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26.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KSK-Aufnahme klären — rückwirkende Nachforderung möglich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27.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Fragebogen zur steuerlichen Erfassung über ELSTER einreichen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28.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Eigene Website fertigstellen und den eigenen Katalog bestehen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29.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Pflegebereich und Kontaktformular auf echtem Hosting testen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30.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Bauanleitung schreiben, damit es nicht an Kira allein hängt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31.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Preis für einen halben Tag Fotoaufnahmen festlegen, Fotograf fragen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32.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Eine belastbare Zahl zum Fachkräftemangel im Handwerk suchen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33.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Barrierefreiheit: Betroffenheit nach dem BFSG klären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34.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Google-Unternehmensprofil für Webgewerk anlegen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35.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Einwandbehandlung ausarbeiten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36.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Screenshots einmal auf einem Rechner ohne Netzsperre prüfen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37.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Overpass-Live-Abruf testen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38.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Ist-Zeit je Check mitschreiben, ab dem allerersten</w:t>
      </w:r>
      <w:r>
        <w:rPr>
          <w:color w:val="000000"/>
          <w:sz w:val="20"/>
          <w:szCs w:val="20"/>
        </w:rPr>
        <w:t xml:space="preserve"> (laufend)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39.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Fester Termin, 60–90 Minuten, Kennzahlen eintragen</w:t>
      </w:r>
      <w:r>
        <w:rPr>
          <w:color w:val="000000"/>
          <w:sz w:val="20"/>
          <w:szCs w:val="20"/>
        </w:rPr>
        <w:t xml:space="preserve"> (jede Woche)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40.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Die ersten 20 Checks übergeben, in Touren zu fünf Betrieben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41.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Rentenversicherung: Statusklärung und Befreiungsantrag stellen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42.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40 Checks insgesamt übergeben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43.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Drei Pilotkunden gewinnen, versetzt mit zwei Wochen Abstand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44.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Ist-Zeit je Projekt erfassen, Projekt 1 vor Projekt 2 auswerten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45.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Nach Projekt 3: Paket S behalten oder streichen?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46.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Zweiter Kanal: Betriebe ohne Website ansprechen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47.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AVV-Vorlage für Betreuungskunden erstellen (Art. 28 DSGVO)</w:t>
      </w:r>
      <w:r>
        <w:rPr>
          <w:color w:val="000000"/>
          <w:sz w:val="20"/>
          <w:szCs w:val="20"/>
        </w:rPr>
        <w:t xml:space="preserve"> (vor dem ersten Betreuungsvertrag)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48.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E-Rechnungs-Empfang und revisionssichere Ablage einrichten</w:t>
      </w:r>
      <w:r>
        <w:rPr>
          <w:color w:val="000000"/>
          <w:sz w:val="20"/>
          <w:szCs w:val="20"/>
        </w:rPr>
        <w:t xml:space="preserve"> (vor der ersten Rechnung)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49.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Domainumzug einmal an einer eigenen Domain üben</w:t>
      </w:r>
      <w:r>
        <w:rPr>
          <w:color w:val="000000"/>
          <w:sz w:val="20"/>
          <w:szCs w:val="20"/>
        </w:rPr>
        <w:t xml:space="preserve"> (vor dem ersten Livegang auf Kundendomain)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50.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Sperrliste zum ersten Mal benutzen</w:t>
      </w:r>
      <w:r>
        <w:rPr>
          <w:color w:val="000000"/>
          <w:sz w:val="20"/>
          <w:szCs w:val="20"/>
        </w:rPr>
        <w:t xml:space="preserve"> (am Tag der ersten Absage)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Nummer 1 ist die einzige, die wirklich eilt: Ohne die ladungsfähige Anschrift darf keiner der elf fertigen Checks das Haus verlassen.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2026-08-19T16:21:56.766Z</dcterms:created>
  <dcterms:modified xsi:type="dcterms:W3CDTF">2026-08-19T16:21:56.766Z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