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 69 € oder 59 € im Monat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Kein Wettbewerberpreis hat eine Quelle mit Abrufdatum. Vor allem: Arbeiten die direkten Preisnachbarn im Fahrgebiet?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Der Satz zur Auslastung hat keine Quelle. Belastbare Branchenzahl suchen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Paket S: beworben wird 990 €, verkauft werden soll 1.490 €. Streichen oder zuschneiden?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Die 15 % Minderung und der Einbehalt der Anzahlung sind Vorschläge, keine geprüften Klauseln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Fotograf fragen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Einwandbehandlung ist ein Entwurf und wird noch ausgearbeitet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5</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Check-Vorlage trägt Yanniks Namen mit Kiras Mailadresse — korrigieren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C</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7.1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Was der Kunde selbst bedienen kann: drei Wege, noch nicht entschieden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7.1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Kontaktformular — ohne Entscheidung ist kein Projekt auslieferbar</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Claude-Abo: kommerzieller Tarif mit AV-Vertrag nötig, Preis prüfen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Dauer</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Betreuungsbestand trägt bei jetziger Rate erst nach fünf Jahren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Verfügbare Wochenstunden, feste Tage und Uhrzeiten — der wichtigste offene Punkt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Ausfall einer Person: produzieren kann nur Kira</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Verzicht auf § 19 UStG prüfen — bindet fünf Jahre, bringt Vorsteuerabzug</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Claude/Anthropic: Vertrag nach Art. 28 DSGVO. Voraussetzung für das erste Projekt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KSK-Aufnahme unsicher, rückwirkende Beitragsnachforderung möglich</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bCs/>
                <w:color w:val="C00000"/>
                <w:sz w:val="20"/>
                <w:szCs w:val="20"/>
              </w:rPr>
              <w:t xml:space="preserve">Anhang B</w:t>
            </w:r>
          </w:p>
        </w:tc>
        <w:tc>
          <w:tcPr>
            <w:tcW w:type="dxa" w:w="6400"/>
            <w:tcMar>
              <w:top w:type="dxa" w:w="60"/>
              <w:left w:type="dxa" w:w="100"/>
              <w:bottom w:type="dxa" w:w="60"/>
              <w:right w:type="dxa" w:w="100"/>
            </w:tcMar>
          </w:tcPr>
          <w:p>
            <w:pPr>
              <w:spacing w:after="0" w:line="260"/>
            </w:pPr>
            <w:r>
              <w:rPr>
                <w:b/>
                <w:bCs/>
                <w:color w:val="C00000"/>
                <w:sz w:val="20"/>
                <w:szCs w:val="20"/>
              </w:rPr>
              <w:t xml:space="preserve">Ladungsfähige Anschrift — blockiert alle elf fertigen Checks</w:t>
            </w:r>
          </w:p>
        </w:tc>
        <w:tc>
          <w:tcPr>
            <w:tcW w:type="dxa" w:w="1700"/>
            <w:tcMar>
              <w:top w:type="dxa" w:w="60"/>
              <w:left w:type="dxa" w:w="100"/>
              <w:bottom w:type="dxa" w:w="60"/>
              <w:right w:type="dxa" w:w="100"/>
            </w:tcMar>
          </w:tcPr>
          <w:p>
            <w:pPr>
              <w:spacing w:after="0" w:line="260"/>
            </w:pPr>
            <w:r>
              <w:rPr>
                <w:b/>
                <w:bCs/>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im Gespräch vom 16./17.08.2026 neu hinzugekommen ist — das ist rund ein Drittel dieses Dokuments und steht nicht in dieser Übersicht, weil es sonst eine zweite Fassung des Konzepts wäre.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Handwerksbetrieben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0000"/>
          <w:sz w:val="22"/>
          <w:szCs w:val="22"/>
        </w:rPr>
        <w:t xml:space="preserve">bau- und ausbaunahe Gewerke, 3 bis 50 Mitarbeiter, im Fahrgebiet Kerpen–Grevenbroich, mit bestehender Website und mindestens drei belegten Mängeln.</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 Betreuung 69 €/Monat.</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spacing w:after="160" w:line="276"/>
      </w:pPr>
      <w:r>
        <w:rPr>
          <w:b w:val="false"/>
          <w:bCs w:val="false"/>
          <w:i w:val="false"/>
          <w:iCs w:val="false"/>
          <w:color w:val="C00000"/>
          <w:sz w:val="22"/>
          <w:szCs w:val="22"/>
        </w:rPr>
        <w:t xml:space="preserve">Offen: Betreuung 69 € oder 59 €? Im Konzept stehen 69 €, im Gespräch fiel die Zahl 59. Bestätigen, bevor sie auf ein Angebot kommt.</w:t>
      </w:r>
    </w:p>
    <w:p>
      <w:pPr>
        <w:pStyle w:val="Heading1"/>
        <w:spacing w:after="120" w:before="320"/>
      </w:pPr>
      <w:r>
        <w:rPr>
          <w:color w:val="000000"/>
        </w:rPr>
        <w:t xml:space="preserve">2 · Markt und Wettbewerb</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Betreuung</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Betreuung von Domain und Hosting, monatliches Backup, monatliche Erreichbarkeits- und Zertifikatsprüfung, bis zu zwei Inhaltsänderungen im Monat, Reaktion auf Störungen am nächsten Werktag</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laufend</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69 €/Mon.</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13.08.: webgewerk.de ist registriert und geparkt (kein Wettbewerber), webgewerk.com und web-gewerk.com sind frei. Für .de, .koeln und .nrw gibt es keine öffentliche Registerabfrage — fehlender DNS-Eintrag ist kein Nachweis.</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pStyle w:val="ListParagraph"/>
        <w:numPr>
          <w:ilvl w:val="0"/>
          <w:numId w:val="2"/>
        </w:numPr>
        <w:spacing w:after="80" w:line="276"/>
      </w:pPr>
      <w:r>
        <w:rPr>
          <w:b/>
          <w:bCs/>
          <w:color w:val="000000"/>
          <w:sz w:val="22"/>
          <w:szCs w:val="22"/>
        </w:rPr>
        <w:t xml:space="preserve">Betreuung 69 €/Monat</w:t>
      </w:r>
      <w:r>
        <w:rPr>
          <w:b w:val="false"/>
          <w:bCs w:val="false"/>
          <w:color w:val="000000"/>
          <w:sz w:val="22"/>
          <w:szCs w:val="22"/>
        </w:rPr>
        <w:t xml:space="preserve">, Mindestlaufzeit zwölf Monate, danach monatlich kündbar.</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verwalten beides für den Kunden, aber nichts läuft über uns. Das ist der Unterschied zwischen einer Betreuung und einem Wiederverkauf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Schriftliche Vollmacht: Wer im Namen des Kunden mit dessen Anbieter spricht, braucht eine kurze Ermächtigung. Ein Absatz im Betreuungsvertrag.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C00000"/>
          <w:sz w:val="22"/>
          <w:szCs w:val="22"/>
        </w:rPr>
        <w:t xml:space="preserve">Offen — Kira, vor dem ersten Pilotprojekt: Welcher von drei Wegen es wird, ist nicht entschieden. Der Weg hängt technisch mit dem Kontaktformular zusammen — beides braucht dieselbe Sorte kleinen Endpunkt beim Hoster des Kunden. Zusammen entscheiden, nicht getrennt. Betroffen sind außerdem der Änderungsumfang der Betreuung, das Abhängigkeitsargument im Verkauf und die Anforderung an das Hosting.</w:t>
      </w:r>
    </w:p>
    <w:p>
      <w:pPr>
        <w:spacing w:after="160" w:line="276"/>
      </w:pPr>
      <w:r>
        <w:rPr>
          <w:b w:val="false"/>
          <w:bCs w:val="false"/>
          <w:i w:val="false"/>
          <w:iCs w:val="false"/>
          <w:color w:val="C00000"/>
          <w:sz w:val="22"/>
          <w:szCs w:val="22"/>
        </w:rPr>
        <w:t xml:space="preserve">Offen — Kira, vor dem ersten Pilotprojekt: Kontaktformular. Eine statische Seite hat keinen Server. Es braucht einen Formulardienst mit EU-Serverstandort und AV-Vertrag oder einen eigenen kleinen Endpunkt. Bis das entschieden ist, ist kein Projekt auslieferbar — der Kontaktweg ist Prüfpunkt 6 unseres eigenen Katalogs.</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w:t>
      </w:r>
    </w:p>
    <w:p>
      <w:pPr>
        <w:spacing w:after="160" w:line="276"/>
      </w:pPr>
      <w:r>
        <w:rPr>
          <w:b w:val="false"/>
          <w:bCs w:val="false"/>
          <w:i w:val="false"/>
          <w:iCs w:val="false"/>
          <w:color w:val="0070C0"/>
          <w:sz w:val="22"/>
          <w:szCs w:val="22"/>
        </w:rPr>
        <w:t xml:space="preserve">Bei Livegang übergeben wir schriftlich: Zugangsdaten zu Domain und Hosting, Einladung zum Git-Repository, eine Ein-Seiten-Anleitung, was wo liegt, und die Übergabeliste aus Anhang A — also die Punkte, die der Kunde selbst erledigen muss.</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 → Betreuung anbieten.</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0000"/>
          <w:sz w:val="22"/>
          <w:szCs w:val="22"/>
        </w:rPr>
        <w:t xml:space="preserve">In der Betreuung enthalten (69 €/Monat): </w:t>
      </w:r>
      <w:r>
        <w:rPr>
          <w:b w:val="false"/>
          <w:bCs w:val="false"/>
          <w:color w:val="000000"/>
          <w:sz w:val="22"/>
          <w:szCs w:val="22"/>
        </w:rPr>
        <w:t xml:space="preserve">Betreuung von Domain und Hosting beim Anbieter des Kunden, monatliches Backup, monatliche Erreichbarkeits- und Zertifikatsprüfung, </w:t>
      </w:r>
      <w:r>
        <w:rPr>
          <w:b/>
          <w:bCs/>
          <w:color w:val="0070C0"/>
          <w:sz w:val="22"/>
          <w:szCs w:val="22"/>
        </w:rPr>
        <w:t xml:space="preserve">bis zu zwei Inhaltsänderungen im Monat</w:t>
      </w:r>
      <w:r>
        <w:rPr>
          <w:b w:val="false"/>
          <w:bCs w:val="false"/>
          <w:color w:val="0070C0"/>
          <w:sz w:val="22"/>
          <w:szCs w:val="22"/>
        </w:rPr>
        <w:t xml:space="preserve">, Reaktion auf Störungsmeldungen innerhalb eines Werktages.</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Referenzen und Betreuungsbestand.</w:t>
      </w:r>
    </w:p>
    <w:p>
      <w:pPr>
        <w:pStyle w:val="ListParagraph"/>
        <w:numPr>
          <w:ilvl w:val="0"/>
          <w:numId w:val="2"/>
        </w:numPr>
        <w:spacing w:after="80" w:line="276"/>
      </w:pPr>
      <w:r>
        <w:rPr>
          <w:b w:val="false"/>
          <w:bCs w:val="false"/>
          <w:color w:val="0070C0"/>
          <w:sz w:val="22"/>
          <w:szCs w:val="22"/>
        </w:rPr>
        <w:t xml:space="preserve">Der Betreuungsbestand ist das eigentliche Geschäft — aber weit entfernt, siehe 10.4.</w:t>
      </w:r>
    </w:p>
    <w:p>
      <w:pPr>
        <w:pStyle w:val="Heading2"/>
        <w:spacing w:after="120" w:before="260"/>
      </w:pPr>
      <w:r>
        <w:rPr>
          <w:color w:val="0070C0"/>
        </w:rPr>
        <w:t xml:space="preserve">10.4 Wann der Betreuungsbestand trägt</w:t>
      </w:r>
    </w:p>
    <w:p>
      <w:pPr>
        <w:spacing w:after="160" w:line="276"/>
      </w:pPr>
      <w:r>
        <w:rPr>
          <w:b w:val="false"/>
          <w:bCs w:val="false"/>
          <w:i w:val="false"/>
          <w:iCs w:val="false"/>
          <w:color w:val="0070C0"/>
          <w:sz w:val="22"/>
          <w:szCs w:val="22"/>
        </w:rPr>
        <w:t xml:space="preserve">20 Betreuungskunden zu 69 € sind 1.380 € im Monat oder 16.560 € im Jahr, bei rund 0 € laufenden Kosten — der Kunde zahlt sein Hosting selbst.</w:t>
      </w:r>
    </w:p>
    <w:p>
      <w:pPr>
        <w:spacing w:after="160" w:line="276"/>
      </w:pPr>
      <w:r>
        <w:rPr>
          <w:b w:val="false"/>
          <w:bCs w:val="false"/>
          <w:i w:val="false"/>
          <w:iCs w:val="false"/>
          <w:color w:val="0070C0"/>
          <w:sz w:val="22"/>
          <w:szCs w:val="22"/>
        </w:rPr>
        <w:t xml:space="preserve">Der Arbeitsaufwand ist mit dem neuen Änderungsumfang deutlich höher als bisher angesetzt. Zwei Änderungen im Monat zu je bis zu 30 Minuten sind im Vollausschöpfungsfall zwölf Stunden im Jahr je Kunde, realistisch eher sechs bis acht. Bei 20 Kunden und sieben Stunden sind das 140 Stunden — rechnerisch rund 118 € je Stunde. Das trägt bequem, aber es ist nicht mehr das Nebenbei-Geschäft der Vorfassung.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2100"/>
        <w:gridCol w:w="2100"/>
      </w:tblGrid>
      <w:tr>
        <w:trPr>
          <w:tblHeader/>
        </w:trPr>
        <w:tc>
          <w:tcPr>
            <w:tcW w:type="dxa" w:w="4800"/>
            <w:shd w:fill="F2F2F2" w:val="clear"/>
            <w:tcMar>
              <w:top w:type="dxa" w:w="60"/>
              <w:left w:type="dxa" w:w="100"/>
              <w:bottom w:type="dxa" w:w="60"/>
              <w:right w:type="dxa" w:w="100"/>
            </w:tcMar>
          </w:tcPr>
          <w:p>
            <w:pPr>
              <w:spacing w:after="0" w:line="260"/>
            </w:pPr>
            <w:r>
              <w:rPr>
                <w:b/>
                <w:bCs/>
                <w:color w:val="000000"/>
                <w:sz w:val="20"/>
                <w:szCs w:val="20"/>
              </w:rPr>
              <w:t xml:space="preserve">Annahme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Verträge/Jahr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20 Kunden</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Rate aus Abschnitt 11 fortgeschrieben (1 je 90 Tage)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5 Jahre</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Bestfall: jeder gewonnene Kunde nimmt Betreuung</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2,5 Jahre</w:t>
            </w:r>
          </w:p>
        </w:tc>
      </w:tr>
    </w:tbl>
    <w:p>
      <w:pPr>
        <w:spacing w:after="120"/>
      </w:pPr>
    </w:p>
    <w:p>
      <w:pPr>
        <w:spacing w:after="160" w:line="276"/>
      </w:pPr>
      <w:r>
        <w:rPr>
          <w:b w:val="false"/>
          <w:bCs w:val="false"/>
          <w:i w:val="false"/>
          <w:iCs w:val="false"/>
          <w:color w:val="0070C0"/>
          <w:sz w:val="22"/>
          <w:szCs w:val="22"/>
        </w:rPr>
        <w:t xml:space="preserve">Der Teil, der das Modell tragen soll, trägt frühestens im dritten Jahr. Das ändert nichts an seiner Richtigkeit, aber alles an der Planung der ersten beiden. Eine Kündigungsquote ist dabei noch gar nicht angesetzt.</w:t>
      </w: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Betreuungsverträge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2</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Verträge</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Betreuung.</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000000"/>
          <w:sz w:val="22"/>
          <w:szCs w:val="22"/>
        </w:rPr>
        <w:t xml:space="preserve">Art. 28 DSGVO — mit jedem Betreuungskunden ein Auftragsverarbeitungsvertrag, einschließlich Nennung aller Unterauftragsverarbeiter.</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zwei Betreuungsverträge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Klären: Betreuung 69 € oder 59 €</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Domain webgewerk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AVV-Vorlage für Betreuungskunden erstellen (Art. 28)</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erstem Betreuungsvertrag</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2026-08-17T11:46:31.407Z</dcterms:created>
  <dcterms:modified xsi:type="dcterms:W3CDTF">2026-08-17T11:46:31.422Z</dcterms:modified>
</cp:coreProperties>
</file>

<file path=docProps/custom.xml><?xml version="1.0" encoding="utf-8"?>
<Properties xmlns="http://schemas.openxmlformats.org/officeDocument/2006/custom-properties" xmlns:vt="http://schemas.openxmlformats.org/officeDocument/2006/docPropsVTypes"/>
</file>