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color w:val="000000"/>
        </w:rPr>
        <w:t xml:space="preserve">Was ich noch tun muss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Webgewerk · Stand 19.08.2026 · in der Reihenfolge, in der es gemacht wird.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Von oben nach unten. Was weiter unten steht, setzt meistens etwas weiter oben voraus. Warum eine Aufgabe drinsteht, steht im Unternehmenskonzept — zum Abhaken braucht man es nicht.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Ladungsfähige Anschrift festlegen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Entscheiden, welche Telefonnummer gilt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Klären: Betreuung 69 € oder 59 € im Monat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Tag 1 festlegen: der Tag, an dem der erste Check übergeben wird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Wochenstunden, feste Tage und Uhrzeiten aufschreiben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Termin mit der Rechtsberatung — mit Datum im Kalender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Vier fertige Befunde freigeben: Sander-Bau, Lindam, Merzenich, Labau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Die zwei Selbstbeschreibungen schreiben, je ein bis zwei Sätze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 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DPMA-Markenrecherche auf entgegenstehende Marken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Schriftlicher GbR-Gesellschaftsvertrag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Gewerbeanmeldung, jeder für sich, beim Gewerbeamt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Domain webgewerk sichern und geschäftliche E-Mail einrichten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Wovon wir im ersten Jahr leben — schriftlich, mit Betrag und Monaten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IT-Haftpflicht: drei Angebote einholen und abschließen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Steuerberatung: § 19 UStG beibehalten oder verzichten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Separates Konto für die Steuerrücklage einrichten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Vertrag und AGB vorformulieren und prüfen lassen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§ 7 UWG und Datenschutz an eine Fachstelle geben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19.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Art.-14-Datenschutzhinweis als Beilage zum Check formulieren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Verzeichnis von Verarbeitungstätigkeiten anlegen (Art. 30 DSGVO)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Claude-Tarif prüfen: Art.-28-Vertrag vorhanden, was kostet er?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Betriebsliste und Zeitprotokoll anlegen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Zeigeerlaubnis für die Arbeitsproben einholen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Wettbewerberpreise belegen, mit Quelle und Datum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Minderung und Einbehalt der Anzahlung prüfen lassen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KSK-Aufnahme klären — rückwirkende Nachforderung möglich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Fragebogen zur steuerlichen Erfassung über ELSTER einreichen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Eigene Website fertigstellen und den eigenen Katalog bestehen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29.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Pflegebereich und Kontaktformular auf echtem Hosting testen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Übergabemappe als Vorlage anlegen (neun Punkte, Konzept 7.1)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Bauanleitung schreiben, damit es nicht an Kira allein hängt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Preis für einen halben Tag Fotoaufnahmen festlegen, Fotograf fragen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Eine belastbare Zahl zum Fachkräftemangel im Handwerk suchen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Barrierefreiheit: Betroffenheit nach dem BFSG klären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Google-Unternehmensprofil für Webgewerk anlegen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Einwandbehandlung ausarbeiten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Screenshots einmal auf einem Rechner ohne Netzsperre prüfen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Overpass-Live-Abruf testen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39.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Check mitschreiben, ab dem allerersten</w:t>
      </w:r>
      <w:r>
        <w:rPr>
          <w:color w:val="000000"/>
          <w:sz w:val="20"/>
          <w:szCs w:val="20"/>
        </w:rPr>
        <w:t xml:space="preserve"> (laufend)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Fester Termin, 60–90 Minuten, Kennzahlen eintragen</w:t>
      </w:r>
      <w:r>
        <w:rPr>
          <w:color w:val="000000"/>
          <w:sz w:val="20"/>
          <w:szCs w:val="20"/>
        </w:rPr>
        <w:t xml:space="preserve"> (jede Woche)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Die ersten 20 Checks übergeben, in Touren zu fünf Betrieben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42.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Rentenversicherung: Statusklärung und Befreiungsantrag stellen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43.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40 Checks insgesamt übergeben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44.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Drei Pilotkunden gewinnen, versetzt mit zwei Wochen Abstand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45.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Ist-Zeit je Projekt erfassen, Projekt 1 vor Projekt 2 auswerten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46.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Nach Projekt 3: Paket S behalten oder streichen?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47.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Zweiter Kanal: Betriebe ohne Website ansprechen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48.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AVV-Vorlage für Betreuungskunden erstellen (Art. 28 DSGVO)</w:t>
      </w:r>
      <w:r>
        <w:rPr>
          <w:color w:val="000000"/>
          <w:sz w:val="20"/>
          <w:szCs w:val="20"/>
        </w:rPr>
        <w:t xml:space="preserve"> (vor dem ersten Betreuungsvertrag)</w:t>
      </w:r>
      <w:r>
        <w:rPr>
          <w:color w:val="000000"/>
          <w:sz w:val="20"/>
          <w:szCs w:val="20"/>
        </w:rPr>
        <w:t xml:space="preserve">   · Kira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49.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E-Rechnungs-Empfang und revisionssichere Ablage einrichten</w:t>
      </w:r>
      <w:r>
        <w:rPr>
          <w:color w:val="000000"/>
          <w:sz w:val="20"/>
          <w:szCs w:val="20"/>
        </w:rPr>
        <w:t xml:space="preserve"> (vor der ersten Rechnung)</w:t>
      </w:r>
      <w:r>
        <w:rPr>
          <w:color w:val="000000"/>
          <w:sz w:val="20"/>
          <w:szCs w:val="20"/>
        </w:rPr>
        <w:t xml:space="preserve">   · Yannik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50.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Domainumzug einmal an einer eigenen Domain üben</w:t>
      </w:r>
      <w:r>
        <w:rPr>
          <w:color w:val="000000"/>
          <w:sz w:val="20"/>
          <w:szCs w:val="20"/>
        </w:rPr>
        <w:t xml:space="preserve"> (vor dem ersten Livegang auf Kundendomain)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00" w:line="264"/>
        <w:ind w:left="560" w:hanging="560"/>
      </w:pPr>
      <w:r>
        <w:rPr>
          <w:color w:val="000000"/>
          <w:sz w:val="22"/>
          <w:szCs w:val="22"/>
        </w:rPr>
        <w:t xml:space="preserve">51.  </w:t>
      </w:r>
      <w:r>
        <w:rPr>
          <w:color w:val="000000"/>
          <w:sz w:val="22"/>
          <w:szCs w:val="22"/>
        </w:rPr>
        <w:t xml:space="preserve">☐   </w:t>
      </w:r>
      <w:r>
        <w:rPr>
          <w:color w:val="000000"/>
          <w:sz w:val="22"/>
          <w:szCs w:val="22"/>
        </w:rPr>
        <w:t xml:space="preserve">Sperrliste zum ersten Mal benutzen</w:t>
      </w:r>
      <w:r>
        <w:rPr>
          <w:color w:val="000000"/>
          <w:sz w:val="20"/>
          <w:szCs w:val="20"/>
        </w:rPr>
        <w:t xml:space="preserve"> (am Tag der ersten Absage)</w:t>
      </w:r>
      <w:r>
        <w:rPr>
          <w:color w:val="000000"/>
          <w:sz w:val="20"/>
          <w:szCs w:val="20"/>
        </w:rPr>
        <w:t xml:space="preserve">   · beide</w:t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</w:pPr>
      <w:r>
        <w:rPr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Nummer 1 ist die einzige, die wirklich eilt: Ohne die ladungsfähige Anschrift darf keiner der elf fertigen Checks das Haus verlassen.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2026-08-20T20:37:31.280Z</dcterms:created>
  <dcterms:modified xsi:type="dcterms:W3CDTF">2026-08-20T20:37:31.280Z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