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A17C6" w:rsidRDefault="008A17C6"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5A105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5A105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5A105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5A105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5A1059">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5A1059">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5A1059">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5A1059">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5A1059">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5A1059">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5A1059">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5A1059">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5A1059">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5A1059">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 xml:space="preserve">Sobre o medicamento em si, é imperativo saber a sua designação, o tamanho da embalagem (quantidade e em que unidades está representada a quantidade), a que categoria pertence (analgésico, </w:t>
      </w:r>
      <w:proofErr w:type="spellStart"/>
      <w:r>
        <w:t>estatina</w:t>
      </w:r>
      <w:proofErr w:type="spellEnd"/>
      <w:r>
        <w:t>,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5</w:t>
      </w:r>
      <w:r w:rsidR="00E955F7">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6</w:t>
      </w:r>
      <w:r w:rsidR="00E955F7">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7</w:t>
      </w:r>
      <w:r w:rsidR="00E955F7">
        <w:rPr>
          <w:noProof/>
        </w:rPr>
        <w:fldChar w:fldCharType="end"/>
      </w:r>
      <w:r>
        <w:t xml:space="preserve"> - Atributos do Medicamento</w:t>
      </w: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lastRenderedPageBreak/>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1011468"/>
      <w:r>
        <w:lastRenderedPageBreak/>
        <w:t>Modelação Lógica</w:t>
      </w:r>
      <w:bookmarkEnd w:id="19"/>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0" w:name="_Toc531011469"/>
      <w:r>
        <w:t>Construção e validação do modelo de dados lógico</w:t>
      </w:r>
      <w:bookmarkEnd w:id="20"/>
    </w:p>
    <w:p w:rsidR="00FC7A83" w:rsidRDefault="00FC7A83" w:rsidP="00FC7A83"/>
    <w:p w:rsidR="00FC7A83" w:rsidRDefault="00FC7A83" w:rsidP="00FC7A83">
      <w:pPr>
        <w:pStyle w:val="Ttulo2"/>
      </w:pPr>
      <w:bookmarkStart w:id="21" w:name="_Toc531011470"/>
      <w:r>
        <w:t>Desenho do modelo lógico</w:t>
      </w:r>
      <w:bookmarkEnd w:id="21"/>
    </w:p>
    <w:p w:rsidR="00FC7A83" w:rsidRDefault="00FC7A83" w:rsidP="00FC7A83"/>
    <w:p w:rsidR="00FC7A83" w:rsidRDefault="00FC7A83" w:rsidP="00FC7A83">
      <w:pPr>
        <w:pStyle w:val="Ttulo2"/>
      </w:pPr>
      <w:bookmarkStart w:id="22" w:name="_Toc531011471"/>
      <w:r>
        <w:t>Validação do modelo através da normalização</w:t>
      </w:r>
      <w:bookmarkEnd w:id="22"/>
    </w:p>
    <w:p w:rsidR="00FC7A83" w:rsidRDefault="00FC7A83" w:rsidP="00FC7A83"/>
    <w:p w:rsidR="00FC7A83" w:rsidRDefault="00FC7A83" w:rsidP="00FC7A83">
      <w:pPr>
        <w:pStyle w:val="Ttulo2"/>
      </w:pPr>
      <w:bookmarkStart w:id="23" w:name="_Toc531011472"/>
      <w:r>
        <w:t>Validação do modelo com interrogações do utilizador</w:t>
      </w:r>
      <w:bookmarkEnd w:id="23"/>
    </w:p>
    <w:p w:rsidR="00FC7A83" w:rsidRDefault="00FC7A83" w:rsidP="00FC7A83"/>
    <w:p w:rsidR="004A6701" w:rsidRDefault="00FC7A83" w:rsidP="004A6701">
      <w:pPr>
        <w:pStyle w:val="Ttulo2"/>
      </w:pPr>
      <w:bookmarkStart w:id="24" w:name="_Toc531011473"/>
      <w:r>
        <w:t>Validação do modelo com as transações estabelecidas</w:t>
      </w:r>
      <w:bookmarkEnd w:id="24"/>
    </w:p>
    <w:p w:rsidR="00856172" w:rsidRPr="004A6701" w:rsidRDefault="004A6701" w:rsidP="001F4337">
      <w:pPr>
        <w:ind w:firstLine="576"/>
      </w:pPr>
      <w:r>
        <w:t xml:space="preserve">Nesta etapa, vão ser apresentadas as </w:t>
      </w:r>
      <w:proofErr w:type="spellStart"/>
      <w:r>
        <w:t>trasanções</w:t>
      </w:r>
      <w:proofErr w:type="spellEnd"/>
      <w:r>
        <w:t xml:space="preserve"> do utilizador </w:t>
      </w:r>
      <w:proofErr w:type="spellStart"/>
      <w:r>
        <w:t>atráves</w:t>
      </w:r>
      <w:proofErr w:type="spellEnd"/>
      <w:r>
        <w:t xml:space="preserve"> de esquemas visuais para uma fácil comp</w:t>
      </w:r>
      <w:r w:rsidR="00856172">
        <w:t>r</w:t>
      </w:r>
      <w:r>
        <w:t>eensã</w:t>
      </w:r>
      <w:r w:rsidR="00856172">
        <w:t xml:space="preserve">o das interações que vão ocorrer entre as diferentes </w:t>
      </w:r>
      <w:r w:rsidR="00856172">
        <w:lastRenderedPageBreak/>
        <w:t>entidades, atributos e até relacionamentos entre entidades de forma a obter um modelo consistente.</w:t>
      </w:r>
    </w:p>
    <w:p w:rsidR="00FC7A83" w:rsidRDefault="00FC7A83" w:rsidP="00FC7A83">
      <w:pPr>
        <w:pStyle w:val="Ttulo2"/>
      </w:pPr>
      <w:bookmarkStart w:id="25" w:name="_Toc531011474"/>
      <w:r>
        <w:t>Revisão do modelo lógico com o utilizador</w:t>
      </w:r>
      <w:bookmarkEnd w:id="25"/>
    </w:p>
    <w:p w:rsidR="00FC7A83" w:rsidRDefault="004A6701" w:rsidP="004A6701">
      <w:pPr>
        <w:ind w:firstLine="432"/>
        <w:sectPr w:rsidR="00FC7A83">
          <w:pgSz w:w="11906" w:h="16838"/>
          <w:pgMar w:top="1417" w:right="1701" w:bottom="1417" w:left="1701" w:header="708" w:footer="708" w:gutter="0"/>
          <w:cols w:space="708"/>
          <w:docGrid w:linePitch="360"/>
        </w:sectPr>
      </w:pPr>
      <w:r>
        <w:t xml:space="preserve">Após a concretização do modelo lógico é necessária e revisão deste mesmo por parte do utilizador. Esta revisão tem o objetivo de     garantir que a estrutura criada neste modelo </w:t>
      </w:r>
      <w:proofErr w:type="spellStart"/>
      <w:r>
        <w:t>satifaz</w:t>
      </w:r>
      <w:proofErr w:type="spellEnd"/>
      <w:r>
        <w:t xml:space="preserve"> todos os requisitos anteriormente requeridos e desejados. Após esta revisão o modelo lógico foi aprovado cumprindo todos os </w:t>
      </w:r>
      <w:proofErr w:type="spellStart"/>
      <w:r>
        <w:t>requesitos</w:t>
      </w:r>
      <w:proofErr w:type="spellEnd"/>
      <w:r>
        <w:t xml:space="preserve"> </w:t>
      </w:r>
      <w:proofErr w:type="spellStart"/>
      <w:r>
        <w:t>pré-establecidos</w:t>
      </w:r>
      <w:proofErr w:type="spellEnd"/>
      <w:r>
        <w:t xml:space="preserve"> pelo utilizador.</w:t>
      </w:r>
    </w:p>
    <w:p w:rsidR="00FC7A83" w:rsidRDefault="00FC7A83" w:rsidP="00FC7A83">
      <w:pPr>
        <w:pStyle w:val="Ttulo1"/>
      </w:pPr>
      <w:bookmarkStart w:id="26" w:name="_Toc531011475"/>
      <w:r>
        <w:lastRenderedPageBreak/>
        <w:t>Implementação Física</w:t>
      </w:r>
      <w:bookmarkEnd w:id="26"/>
    </w:p>
    <w:p w:rsidR="001F6B40" w:rsidRDefault="00735F95" w:rsidP="001F6B40">
      <w:pPr>
        <w:pStyle w:val="Ttulo2"/>
      </w:pPr>
      <w:bookmarkStart w:id="27" w:name="_Toc531011476"/>
      <w:r>
        <w:t>Seleção do sistema de gestão de bases de dados</w:t>
      </w:r>
      <w:bookmarkEnd w:id="27"/>
    </w:p>
    <w:p w:rsidR="008A17C6" w:rsidRDefault="008A17C6" w:rsidP="008A17C6">
      <w:bookmarkStart w:id="28"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8A17C6">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8"/>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29"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29"/>
    </w:p>
    <w:p w:rsidR="007A3506" w:rsidRDefault="003D3967" w:rsidP="004F0A03">
      <w:pPr>
        <w:pStyle w:val="Ttulo3"/>
      </w:pPr>
      <w:bookmarkStart w:id="30" w:name="_Toc531011479"/>
      <w:r>
        <w:t>Dados dos vencimentos dos funcionários</w:t>
      </w:r>
      <w:bookmarkEnd w:id="30"/>
    </w:p>
    <w:p w:rsidR="004F0A03" w:rsidRPr="004F0A03" w:rsidRDefault="004F0A03" w:rsidP="004F0A03">
      <w:pPr>
        <w:rPr>
          <w:b/>
        </w:rPr>
      </w:pPr>
      <w:proofErr w:type="spellStart"/>
      <w:r w:rsidRPr="004F0A03">
        <w:rPr>
          <w:b/>
        </w:rPr>
        <w:t>Query</w:t>
      </w:r>
      <w:proofErr w:type="spellEnd"/>
      <w:r w:rsidRPr="004F0A03">
        <w:rPr>
          <w:b/>
        </w:rPr>
        <w:t>:</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1"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1"/>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2"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2"/>
    </w:p>
    <w:p w:rsidR="004F0A03" w:rsidRDefault="004F0A03" w:rsidP="004F0A03">
      <w:pPr>
        <w:pStyle w:val="Ttulo3"/>
      </w:pPr>
      <w:bookmarkStart w:id="33" w:name="_Toc531011480"/>
      <w:r>
        <w:t>Medicamento mais vendido</w:t>
      </w:r>
      <w:bookmarkEnd w:id="33"/>
    </w:p>
    <w:p w:rsidR="004F0A03" w:rsidRPr="004F0A03" w:rsidRDefault="004F0A03" w:rsidP="004F0A03">
      <w:pPr>
        <w:rPr>
          <w:b/>
        </w:rPr>
      </w:pPr>
      <w:proofErr w:type="spellStart"/>
      <w:r w:rsidRPr="004F0A03">
        <w:rPr>
          <w:b/>
        </w:rPr>
        <w:t>Query</w:t>
      </w:r>
      <w:proofErr w:type="spellEnd"/>
      <w:r w:rsidRPr="004F0A03">
        <w:rPr>
          <w:b/>
        </w:rPr>
        <w:t>:</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4"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4"/>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5"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5"/>
    </w:p>
    <w:p w:rsidR="00D876A7" w:rsidRDefault="00D876A7" w:rsidP="00D876A7">
      <w:pPr>
        <w:pStyle w:val="Ttulo3"/>
      </w:pPr>
      <w:bookmarkStart w:id="36" w:name="_Toc531011481"/>
      <w:r>
        <w:t>Funcionário do mês (</w:t>
      </w:r>
      <w:proofErr w:type="gramStart"/>
      <w:r>
        <w:t>Janeiro</w:t>
      </w:r>
      <w:proofErr w:type="gramEnd"/>
      <w:r>
        <w:t>)</w:t>
      </w:r>
      <w:bookmarkEnd w:id="36"/>
    </w:p>
    <w:p w:rsidR="00D876A7" w:rsidRDefault="00D876A7" w:rsidP="007A3506">
      <w:pPr>
        <w:rPr>
          <w:b/>
        </w:rPr>
      </w:pPr>
      <w:proofErr w:type="spellStart"/>
      <w:r>
        <w:rPr>
          <w:b/>
        </w:rPr>
        <w:t>Query</w:t>
      </w:r>
      <w:proofErr w:type="spellEnd"/>
      <w:r>
        <w:rPr>
          <w:b/>
        </w:rPr>
        <w:t>:</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7"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w:t>
      </w:r>
      <w:proofErr w:type="gramStart"/>
      <w:r>
        <w:t>Janeiro</w:t>
      </w:r>
      <w:proofErr w:type="gramEnd"/>
      <w:r>
        <w:t>)</w:t>
      </w:r>
      <w:bookmarkEnd w:id="37"/>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8"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8"/>
    </w:p>
    <w:p w:rsidR="00D876A7" w:rsidRDefault="00D876A7" w:rsidP="00D876A7">
      <w:pPr>
        <w:pStyle w:val="Ttulo3"/>
      </w:pPr>
      <w:bookmarkStart w:id="39" w:name="_Toc531011482"/>
      <w:r>
        <w:t>Medicamentos de pacientes crónicos</w:t>
      </w:r>
      <w:bookmarkEnd w:id="39"/>
    </w:p>
    <w:p w:rsidR="00FA4E2F" w:rsidRPr="00FA4E2F" w:rsidRDefault="00697307" w:rsidP="007A3506">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0"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0"/>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1"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1"/>
    </w:p>
    <w:p w:rsidR="00D876A7" w:rsidRDefault="00D876A7" w:rsidP="00D876A7">
      <w:pPr>
        <w:pStyle w:val="Ttulo3"/>
      </w:pPr>
      <w:bookmarkStart w:id="42" w:name="_Toc531011483"/>
      <w:r>
        <w:t>Tempo médio de atendimento</w:t>
      </w:r>
      <w:bookmarkEnd w:id="42"/>
    </w:p>
    <w:p w:rsidR="00D876A7" w:rsidRDefault="00FA4E2F" w:rsidP="00FA4E2F">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3"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3"/>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4"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4"/>
    </w:p>
    <w:p w:rsidR="00D876A7" w:rsidRPr="00D876A7" w:rsidRDefault="00D876A7" w:rsidP="00D876A7">
      <w:pPr>
        <w:pStyle w:val="Ttulo3"/>
      </w:pPr>
      <w:bookmarkStart w:id="45" w:name="_Toc531011484"/>
      <w:r>
        <w:t>Tempo médio de atendimento por hora</w:t>
      </w:r>
      <w:bookmarkEnd w:id="45"/>
    </w:p>
    <w:p w:rsidR="00FA4E2F" w:rsidRDefault="00FA4E2F" w:rsidP="00FA4E2F">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6"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6"/>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7"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7"/>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8"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8"/>
    </w:p>
    <w:p w:rsidR="00892D5A" w:rsidRDefault="00892D5A" w:rsidP="00892D5A">
      <w:pPr>
        <w:pStyle w:val="Ttulo3"/>
      </w:pPr>
      <w:bookmarkStart w:id="49" w:name="_Toc531011485"/>
      <w:r>
        <w:t>Alterar o nº de telemóvel do cliente 6</w:t>
      </w:r>
      <w:bookmarkEnd w:id="49"/>
    </w:p>
    <w:p w:rsidR="00892D5A" w:rsidRPr="00892D5A" w:rsidRDefault="00892D5A" w:rsidP="00FA4E2F">
      <w:pPr>
        <w:rPr>
          <w:b/>
        </w:rPr>
      </w:pPr>
      <w:proofErr w:type="spellStart"/>
      <w:r w:rsidRPr="00892D5A">
        <w:rPr>
          <w:b/>
        </w:rPr>
        <w:t>Query</w:t>
      </w:r>
      <w:proofErr w:type="spellEnd"/>
      <w:r w:rsidRPr="00892D5A">
        <w:rPr>
          <w:b/>
        </w:rPr>
        <w:t>:</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0"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0"/>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1"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1"/>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2"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2"/>
    </w:p>
    <w:p w:rsidR="00892D5A" w:rsidRPr="00892D5A" w:rsidRDefault="00892D5A" w:rsidP="00892D5A">
      <w:pPr>
        <w:pStyle w:val="Ttulo3"/>
      </w:pPr>
      <w:bookmarkStart w:id="53" w:name="_Toc531011486"/>
      <w:r>
        <w:t>Aumentar o ordenado do funcionário 1</w:t>
      </w:r>
      <w:bookmarkEnd w:id="53"/>
    </w:p>
    <w:p w:rsidR="00892D5A" w:rsidRPr="00892D5A" w:rsidRDefault="00892D5A" w:rsidP="007A3506">
      <w:pPr>
        <w:rPr>
          <w:b/>
        </w:rPr>
      </w:pPr>
      <w:proofErr w:type="spellStart"/>
      <w:r>
        <w:rPr>
          <w:b/>
        </w:rPr>
        <w:t>Query</w:t>
      </w:r>
      <w:proofErr w:type="spellEnd"/>
      <w:r>
        <w:rPr>
          <w:b/>
        </w:rPr>
        <w:t>:</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4"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4"/>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5"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5"/>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6"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6"/>
    </w:p>
    <w:p w:rsidR="007A3506" w:rsidRDefault="007A3506" w:rsidP="007A3506">
      <w:pPr>
        <w:pStyle w:val="Ttulo2"/>
      </w:pPr>
      <w:bookmarkStart w:id="57" w:name="_Toc531011487"/>
      <w:r>
        <w:t>Tradução das transações estabelecidas para SQL (alguns exemplos)</w:t>
      </w:r>
      <w:bookmarkEnd w:id="57"/>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Ttulo2"/>
      </w:pPr>
      <w:bookmarkStart w:id="58" w:name="_Toc531011488"/>
      <w:r>
        <w:t>Escolha, definição e caracterização de índices em SQL</w:t>
      </w:r>
      <w:bookmarkEnd w:id="58"/>
      <w:r>
        <w:t xml:space="preserve"> </w:t>
      </w:r>
    </w:p>
    <w:p w:rsidR="009F7BBE" w:rsidRDefault="009F7BBE" w:rsidP="009F7BBE">
      <w:pPr>
        <w:ind w:firstLine="576"/>
      </w:pPr>
      <w:bookmarkStart w:id="59"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lastRenderedPageBreak/>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bookmarkEnd w:id="59"/>
    </w:p>
    <w:p w:rsidR="007A3506" w:rsidRDefault="007A3506" w:rsidP="007A3506"/>
    <w:p w:rsidR="007A3506" w:rsidRDefault="007A3506" w:rsidP="007A3506">
      <w:pPr>
        <w:pStyle w:val="Ttulo2"/>
      </w:pPr>
      <w:bookmarkStart w:id="60" w:name="_Toc531011490"/>
      <w:r>
        <w:t>Definição e caracterização das vistas de utilização em SQL (alguns exemplos)</w:t>
      </w:r>
      <w:bookmarkEnd w:id="60"/>
    </w:p>
    <w:p w:rsidR="007A3506" w:rsidRDefault="007A3506" w:rsidP="007A3506"/>
    <w:p w:rsidR="007A3506" w:rsidRDefault="007A3506" w:rsidP="007A3506">
      <w:pPr>
        <w:pStyle w:val="Ttulo2"/>
      </w:pPr>
      <w:bookmarkStart w:id="61" w:name="_Toc531011491"/>
      <w:r>
        <w:t>Definição e caracterização dos mecanismos de segurança em SQL</w:t>
      </w:r>
      <w:bookmarkEnd w:id="61"/>
    </w:p>
    <w:p w:rsidR="007A3506" w:rsidRDefault="007A3506" w:rsidP="007A3506">
      <w:bookmarkStart w:id="62" w:name="_GoBack"/>
      <w:bookmarkEnd w:id="62"/>
    </w:p>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9F7BBE" w:rsidRPr="007B5A31" w:rsidRDefault="009F7BBE" w:rsidP="009F7BBE">
      <w:pPr>
        <w:ind w:firstLine="432"/>
        <w:sectPr w:rsidR="009F7BBE"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dos requisitos que tinham sido especificados no modelo físico, este foi aprovado.</w:t>
      </w:r>
    </w:p>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059" w:rsidRDefault="005A1059" w:rsidP="00EB749C">
      <w:pPr>
        <w:spacing w:line="240" w:lineRule="auto"/>
      </w:pPr>
      <w:r>
        <w:separator/>
      </w:r>
    </w:p>
  </w:endnote>
  <w:endnote w:type="continuationSeparator" w:id="0">
    <w:p w:rsidR="005A1059" w:rsidRDefault="005A1059"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059" w:rsidRDefault="005A1059" w:rsidP="00EB749C">
      <w:pPr>
        <w:spacing w:line="240" w:lineRule="auto"/>
      </w:pPr>
      <w:r>
        <w:separator/>
      </w:r>
    </w:p>
  </w:footnote>
  <w:footnote w:type="continuationSeparator" w:id="0">
    <w:p w:rsidR="005A1059" w:rsidRDefault="005A1059" w:rsidP="00EB749C">
      <w:pPr>
        <w:spacing w:line="240" w:lineRule="auto"/>
      </w:pPr>
      <w:r>
        <w:continuationSeparator/>
      </w:r>
    </w:p>
  </w:footnote>
  <w:footnote w:id="1">
    <w:p w:rsidR="008A17C6" w:rsidRDefault="008A17C6">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A1059"/>
    <w:rsid w:val="005B7AA3"/>
    <w:rsid w:val="005E7DF6"/>
    <w:rsid w:val="006135BE"/>
    <w:rsid w:val="00645D53"/>
    <w:rsid w:val="006817CC"/>
    <w:rsid w:val="006927B6"/>
    <w:rsid w:val="00697307"/>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E1A74"/>
    <w:rsid w:val="009F7BBE"/>
    <w:rsid w:val="00A145EA"/>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CEA5C-8773-45B4-BE33-A8669731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37</Pages>
  <Words>6152</Words>
  <Characters>33224</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36</cp:revision>
  <dcterms:created xsi:type="dcterms:W3CDTF">2018-11-24T15:37:00Z</dcterms:created>
  <dcterms:modified xsi:type="dcterms:W3CDTF">2018-11-26T18:43:00Z</dcterms:modified>
</cp:coreProperties>
</file>