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21DF0" w:rsidRPr="00741043" w:rsidRDefault="00421DF0" w:rsidP="00421DF0">
      <w:pPr>
        <w:jc w:val="right"/>
        <w:rPr>
          <w:rFonts w:asciiTheme="minorEastAsia" w:eastAsiaTheme="minorEastAsia" w:hAnsiTheme="minorEastAsia"/>
          <w:sz w:val="20"/>
          <w:szCs w:val="20"/>
        </w:rPr>
      </w:pPr>
      <w:r w:rsidRPr="00741043">
        <w:rPr>
          <w:rFonts w:asciiTheme="minorEastAsia" w:eastAsiaTheme="minorEastAsia" w:hAnsiTheme="minorEastAsia"/>
          <w:sz w:val="20"/>
          <w:szCs w:val="20"/>
        </w:rPr>
        <w:t>2020/04/01</w:t>
      </w:r>
    </w:p>
    <w:p w:rsidR="00421DF0" w:rsidRPr="00741043" w:rsidRDefault="00421DF0" w:rsidP="00421DF0">
      <w:pPr>
        <w:jc w:val="right"/>
        <w:rPr>
          <w:rFonts w:asciiTheme="minorEastAsia" w:eastAsiaTheme="minorEastAsia" w:hAnsiTheme="minorEastAsia"/>
          <w:sz w:val="20"/>
          <w:szCs w:val="20"/>
        </w:rPr>
      </w:pPr>
      <w:r>
        <w:rPr>
          <w:rFonts w:asciiTheme="minorEastAsia" w:eastAsiaTheme="minorEastAsia" w:hAnsiTheme="minorEastAsia" w:hint="eastAsia"/>
          <w:sz w:val="20"/>
          <w:szCs w:val="20"/>
        </w:rPr>
        <w:t>インタラクティブメディア</w:t>
      </w:r>
      <w:r w:rsidRPr="00741043">
        <w:rPr>
          <w:rFonts w:asciiTheme="minorEastAsia" w:eastAsiaTheme="minorEastAsia" w:hAnsiTheme="minorEastAsia" w:hint="eastAsia"/>
          <w:sz w:val="20"/>
          <w:szCs w:val="20"/>
        </w:rPr>
        <w:t>学科</w:t>
      </w:r>
    </w:p>
    <w:p w:rsidR="00421DF0" w:rsidRPr="00741043" w:rsidRDefault="00421DF0" w:rsidP="00421DF0">
      <w:pPr>
        <w:jc w:val="right"/>
        <w:rPr>
          <w:rFonts w:asciiTheme="minorEastAsia" w:eastAsiaTheme="minorEastAsia" w:hAnsiTheme="minorEastAsia"/>
          <w:sz w:val="20"/>
          <w:szCs w:val="20"/>
        </w:rPr>
      </w:pPr>
      <w:r w:rsidRPr="00741043">
        <w:rPr>
          <w:rFonts w:asciiTheme="minorEastAsia" w:eastAsiaTheme="minorEastAsia" w:hAnsiTheme="minorEastAsia"/>
          <w:sz w:val="20"/>
          <w:szCs w:val="20"/>
        </w:rPr>
        <w:t>2024000</w:t>
      </w:r>
      <w:r w:rsidRPr="00741043">
        <w:rPr>
          <w:rFonts w:asciiTheme="minorEastAsia" w:eastAsiaTheme="minorEastAsia" w:hAnsiTheme="minorEastAsia" w:hint="eastAsia"/>
          <w:sz w:val="20"/>
          <w:szCs w:val="20"/>
        </w:rPr>
        <w:t xml:space="preserve">　</w:t>
      </w:r>
      <w:r>
        <w:rPr>
          <w:rFonts w:asciiTheme="minorEastAsia" w:eastAsiaTheme="minorEastAsia" w:hAnsiTheme="minorEastAsia" w:hint="eastAsia"/>
          <w:sz w:val="20"/>
          <w:szCs w:val="20"/>
        </w:rPr>
        <w:t>工芸</w:t>
      </w:r>
      <w:r w:rsidRPr="00741043">
        <w:rPr>
          <w:rFonts w:asciiTheme="minorEastAsia" w:eastAsiaTheme="minorEastAsia" w:hAnsiTheme="minorEastAsia" w:hint="eastAsia"/>
          <w:sz w:val="20"/>
          <w:szCs w:val="20"/>
        </w:rPr>
        <w:t xml:space="preserve">　太郎</w:t>
      </w:r>
    </w:p>
    <w:p w:rsidR="00421DF0" w:rsidRPr="003B3AD6" w:rsidRDefault="00421DF0" w:rsidP="002E4A91">
      <w:pPr>
        <w:pStyle w:val="a3"/>
        <w:spacing w:beforeLines="50" w:before="120" w:afterLines="50" w:after="120"/>
        <w:rPr>
          <w:rFonts w:asciiTheme="majorEastAsia" w:eastAsiaTheme="majorEastAsia" w:hAnsiTheme="majorEastAsia"/>
          <w:sz w:val="28"/>
          <w:szCs w:val="28"/>
        </w:rPr>
      </w:pPr>
      <w:r>
        <w:rPr>
          <w:rFonts w:asciiTheme="majorEastAsia" w:eastAsiaTheme="majorEastAsia" w:hAnsiTheme="majorEastAsia" w:hint="eastAsia"/>
          <w:sz w:val="28"/>
          <w:szCs w:val="28"/>
        </w:rPr>
        <w:t>日本における大学生の自殺問題</w:t>
      </w:r>
    </w:p>
    <w:p w:rsidR="00421DF0" w:rsidRPr="004E7659" w:rsidRDefault="00421DF0" w:rsidP="00421DF0">
      <w:pPr>
        <w:spacing w:afterLines="100" w:after="240"/>
        <w:ind w:firstLineChars="100" w:firstLine="180"/>
        <w:rPr>
          <w:rFonts w:asciiTheme="minorEastAsia" w:eastAsiaTheme="minorEastAsia" w:hAnsiTheme="minorEastAsia"/>
          <w:sz w:val="18"/>
          <w:szCs w:val="18"/>
        </w:rPr>
        <w:sectPr w:rsidR="00421DF0" w:rsidRPr="004E7659" w:rsidSect="00421DF0">
          <w:endnotePr>
            <w:numFmt w:val="decimal"/>
          </w:endnotePr>
          <w:pgSz w:w="11906" w:h="16838" w:code="9"/>
          <w:pgMar w:top="1701" w:right="1418" w:bottom="1701" w:left="1418" w:header="851" w:footer="992" w:gutter="0"/>
          <w:cols w:space="316"/>
          <w:docGrid w:linePitch="360" w:charSpace="46713"/>
        </w:sectPr>
      </w:pPr>
      <w:r>
        <w:rPr>
          <w:rFonts w:asciiTheme="minorEastAsia" w:eastAsiaTheme="minorEastAsia" w:hAnsiTheme="minorEastAsia" w:hint="eastAsia"/>
          <w:sz w:val="18"/>
          <w:szCs w:val="18"/>
        </w:rPr>
        <w:t>本稿</w:t>
      </w:r>
      <w:r w:rsidRPr="009F1241">
        <w:rPr>
          <w:rFonts w:asciiTheme="minorEastAsia" w:eastAsiaTheme="minorEastAsia" w:hAnsiTheme="minorEastAsia" w:hint="eastAsia"/>
          <w:sz w:val="18"/>
          <w:szCs w:val="18"/>
        </w:rPr>
        <w:t>では、日本における大学生の自殺の現状、また今後の課題について考察する。現在の日本における大学生の自殺死亡率は、男女や専攻学部によっても異なると考えられる。また、自殺動機・原因に関しては様々であるが、自殺の多くは単一の理由から引き起こされるのではなく、複合的な原因・背景が存在していると言える。自殺予防対策としては、悩みを相談することが重要であると考えられる。しかし、悩みを相談することには多くの障害がある。</w:t>
      </w:r>
    </w:p>
    <w:p w:rsidR="00E04258" w:rsidRPr="00E04258" w:rsidRDefault="00E04258" w:rsidP="00D97E3A">
      <w:pPr>
        <w:pStyle w:val="a5"/>
        <w:numPr>
          <w:ilvl w:val="0"/>
          <w:numId w:val="3"/>
        </w:numPr>
        <w:spacing w:beforeLines="50" w:before="120" w:afterLines="50" w:after="120"/>
        <w:ind w:leftChars="0"/>
        <w:rPr>
          <w:rStyle w:val="normaltextrun"/>
          <w:rFonts w:asciiTheme="majorEastAsia" w:eastAsiaTheme="majorEastAsia" w:hAnsiTheme="majorEastAsia"/>
          <w:sz w:val="24"/>
        </w:rPr>
      </w:pPr>
      <w:r w:rsidRPr="00E04258">
        <w:rPr>
          <w:rStyle w:val="normaltextrun"/>
          <w:rFonts w:asciiTheme="majorEastAsia" w:eastAsiaTheme="majorEastAsia" w:hAnsiTheme="majorEastAsia" w:hint="eastAsia"/>
          <w:sz w:val="24"/>
        </w:rPr>
        <w:t>はじめに</w:t>
      </w:r>
    </w:p>
    <w:p w:rsidR="00421DF0" w:rsidRDefault="00421DF0" w:rsidP="00E04258">
      <w:pPr>
        <w:ind w:firstLineChars="100" w:firstLine="200"/>
        <w:rPr>
          <w:rStyle w:val="normaltextrun"/>
          <w:rFonts w:asciiTheme="minorEastAsia" w:eastAsiaTheme="minorEastAsia" w:hAnsiTheme="minorEastAsia"/>
          <w:sz w:val="20"/>
          <w:szCs w:val="20"/>
        </w:rPr>
      </w:pPr>
      <w:r w:rsidRPr="00741043">
        <w:rPr>
          <w:noProof/>
          <w:sz w:val="20"/>
          <w:szCs w:val="20"/>
        </w:rPr>
        <w:drawing>
          <wp:anchor distT="0" distB="0" distL="114300" distR="114300" simplePos="0" relativeHeight="251659264" behindDoc="0" locked="0" layoutInCell="1" allowOverlap="1" wp14:anchorId="5470FABD" wp14:editId="0D500AA4">
            <wp:simplePos x="0" y="0"/>
            <wp:positionH relativeFrom="column">
              <wp:posOffset>3042920</wp:posOffset>
            </wp:positionH>
            <wp:positionV relativeFrom="paragraph">
              <wp:posOffset>1031240</wp:posOffset>
            </wp:positionV>
            <wp:extent cx="2635250" cy="1804035"/>
            <wp:effectExtent l="0" t="0" r="0" b="0"/>
            <wp:wrapTopAndBottom/>
            <wp:docPr id="1" name="グラフ 1">
              <a:extLst xmlns:a="http://schemas.openxmlformats.org/drawingml/2006/main">
                <a:ext uri="{FF2B5EF4-FFF2-40B4-BE49-F238E27FC236}">
                  <a16:creationId xmlns:a16="http://schemas.microsoft.com/office/drawing/2014/main" id="{840F6BBE-9657-463A-BDB3-C47BAD69034B}"/>
                </a:ext>
                <a:ext uri="{147F2762-F138-4A5C-976F-8EAC2B608ADB}">
                  <a16:predDERef xmlns:a16="http://schemas.microsoft.com/office/drawing/2014/main" pred="{E032AD7A-1944-8147-B6AE-D41D8ECFB1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741043">
        <w:rPr>
          <w:rStyle w:val="normaltextrun"/>
          <w:rFonts w:asciiTheme="minorEastAsia" w:eastAsiaTheme="minorEastAsia" w:hAnsiTheme="minorEastAsia" w:hint="eastAsia"/>
          <w:sz w:val="20"/>
          <w:szCs w:val="20"/>
        </w:rPr>
        <w:t>平成</w:t>
      </w:r>
      <w:r w:rsidRPr="00741043">
        <w:rPr>
          <w:rStyle w:val="normaltextrun"/>
          <w:rFonts w:asciiTheme="minorEastAsia" w:eastAsiaTheme="minorEastAsia" w:hAnsiTheme="minorEastAsia"/>
          <w:sz w:val="20"/>
          <w:szCs w:val="20"/>
        </w:rPr>
        <w:t>30</w:t>
      </w:r>
      <w:r w:rsidRPr="00741043">
        <w:rPr>
          <w:rStyle w:val="normaltextrun"/>
          <w:rFonts w:asciiTheme="minorEastAsia" w:eastAsiaTheme="minorEastAsia" w:hAnsiTheme="minorEastAsia" w:hint="eastAsia"/>
          <w:sz w:val="20"/>
          <w:szCs w:val="20"/>
        </w:rPr>
        <w:t>年における、日本の</w:t>
      </w:r>
      <w:r w:rsidRPr="00741043">
        <w:rPr>
          <w:rStyle w:val="normaltextrun"/>
          <w:rFonts w:asciiTheme="minorEastAsia" w:eastAsiaTheme="minorEastAsia" w:hAnsiTheme="minorEastAsia"/>
          <w:sz w:val="20"/>
          <w:szCs w:val="20"/>
        </w:rPr>
        <w:t>20</w:t>
      </w:r>
      <w:r w:rsidRPr="00741043">
        <w:rPr>
          <w:rStyle w:val="normaltextrun"/>
          <w:rFonts w:asciiTheme="minorEastAsia" w:eastAsiaTheme="minorEastAsia" w:hAnsiTheme="minorEastAsia" w:hint="eastAsia"/>
          <w:sz w:val="20"/>
          <w:szCs w:val="20"/>
        </w:rPr>
        <w:t>歳から</w:t>
      </w:r>
      <w:r w:rsidRPr="00741043">
        <w:rPr>
          <w:rStyle w:val="normaltextrun"/>
          <w:rFonts w:asciiTheme="minorEastAsia" w:eastAsiaTheme="minorEastAsia" w:hAnsiTheme="minorEastAsia"/>
          <w:sz w:val="20"/>
          <w:szCs w:val="20"/>
        </w:rPr>
        <w:t>24</w:t>
      </w:r>
      <w:r w:rsidRPr="00741043">
        <w:rPr>
          <w:rStyle w:val="normaltextrun"/>
          <w:rFonts w:asciiTheme="minorEastAsia" w:eastAsiaTheme="minorEastAsia" w:hAnsiTheme="minorEastAsia" w:hint="eastAsia"/>
          <w:sz w:val="20"/>
          <w:szCs w:val="20"/>
        </w:rPr>
        <w:t>歳の死因第</w:t>
      </w:r>
      <w:r w:rsidRPr="00741043">
        <w:rPr>
          <w:rStyle w:val="normaltextrun"/>
          <w:rFonts w:asciiTheme="minorEastAsia" w:eastAsiaTheme="minorEastAsia" w:hAnsiTheme="minorEastAsia"/>
          <w:sz w:val="20"/>
          <w:szCs w:val="20"/>
        </w:rPr>
        <w:t>1</w:t>
      </w:r>
      <w:r w:rsidRPr="00741043">
        <w:rPr>
          <w:rStyle w:val="normaltextrun"/>
          <w:rFonts w:asciiTheme="minorEastAsia" w:eastAsiaTheme="minorEastAsia" w:hAnsiTheme="minorEastAsia" w:hint="eastAsia"/>
          <w:sz w:val="20"/>
          <w:szCs w:val="20"/>
        </w:rPr>
        <w:t>位は男女ともに自殺である。また、この年代の自殺死亡率はすべての年代の中においても高い。自殺というと子供の自殺が取り上げられることが多いが、実際には大学生の年代の自殺死亡率方が高い</w:t>
      </w:r>
      <w:r>
        <w:rPr>
          <w:rStyle w:val="normaltextrun"/>
          <w:rFonts w:asciiTheme="minorEastAsia" w:eastAsiaTheme="minorEastAsia" w:hAnsiTheme="minorEastAsia" w:hint="eastAsia"/>
          <w:sz w:val="20"/>
          <w:szCs w:val="20"/>
        </w:rPr>
        <w:t>ことが分かっている</w:t>
      </w:r>
      <w:r w:rsidRPr="00741043">
        <w:rPr>
          <w:rStyle w:val="normaltextrun"/>
          <w:rFonts w:asciiTheme="minorEastAsia" w:eastAsiaTheme="minorEastAsia" w:hAnsiTheme="minorEastAsia" w:hint="eastAsia"/>
          <w:sz w:val="20"/>
          <w:szCs w:val="20"/>
        </w:rPr>
        <w:t>。そのため、</w:t>
      </w:r>
      <w:r>
        <w:rPr>
          <w:rStyle w:val="normaltextrun"/>
          <w:rFonts w:asciiTheme="minorEastAsia" w:eastAsiaTheme="minorEastAsia" w:hAnsiTheme="minorEastAsia" w:hint="eastAsia"/>
          <w:sz w:val="20"/>
          <w:szCs w:val="20"/>
        </w:rPr>
        <w:t>本稿</w:t>
      </w:r>
      <w:r w:rsidRPr="00741043">
        <w:rPr>
          <w:rStyle w:val="normaltextrun"/>
          <w:rFonts w:asciiTheme="minorEastAsia" w:eastAsiaTheme="minorEastAsia" w:hAnsiTheme="minorEastAsia" w:hint="eastAsia"/>
          <w:sz w:val="20"/>
          <w:szCs w:val="20"/>
        </w:rPr>
        <w:t>では大学生の自殺問題について取り上げる。</w:t>
      </w:r>
    </w:p>
    <w:p w:rsidR="00D97E3A" w:rsidRDefault="00D97E3A" w:rsidP="00D97E3A">
      <w:pPr>
        <w:pStyle w:val="a5"/>
        <w:numPr>
          <w:ilvl w:val="0"/>
          <w:numId w:val="3"/>
        </w:numPr>
        <w:spacing w:beforeLines="50" w:before="120" w:afterLines="50" w:after="120"/>
        <w:ind w:leftChars="0"/>
        <w:rPr>
          <w:rStyle w:val="normaltextrun"/>
          <w:rFonts w:asciiTheme="majorEastAsia" w:eastAsiaTheme="majorEastAsia" w:hAnsiTheme="majorEastAsia"/>
          <w:sz w:val="24"/>
        </w:rPr>
      </w:pPr>
      <w:r>
        <w:rPr>
          <w:rStyle w:val="normaltextrun"/>
          <w:rFonts w:asciiTheme="majorEastAsia" w:eastAsiaTheme="majorEastAsia" w:hAnsiTheme="majorEastAsia" w:hint="eastAsia"/>
          <w:sz w:val="24"/>
        </w:rPr>
        <w:t>現状</w:t>
      </w:r>
    </w:p>
    <w:p w:rsidR="00421DF0" w:rsidRPr="00D97E3A" w:rsidRDefault="00421DF0" w:rsidP="00D97E3A">
      <w:pPr>
        <w:pStyle w:val="a5"/>
        <w:numPr>
          <w:ilvl w:val="1"/>
          <w:numId w:val="3"/>
        </w:numPr>
        <w:spacing w:beforeLines="50" w:before="120" w:afterLines="50" w:after="120"/>
        <w:ind w:leftChars="0"/>
        <w:rPr>
          <w:rFonts w:asciiTheme="majorEastAsia" w:eastAsiaTheme="majorEastAsia" w:hAnsiTheme="majorEastAsia"/>
          <w:sz w:val="24"/>
        </w:rPr>
      </w:pPr>
      <w:r w:rsidRPr="00D97E3A">
        <w:rPr>
          <w:rFonts w:asciiTheme="majorEastAsia" w:eastAsiaTheme="majorEastAsia" w:hAnsiTheme="majorEastAsia" w:hint="eastAsia"/>
          <w:sz w:val="22"/>
          <w:szCs w:val="22"/>
        </w:rPr>
        <w:t>自殺死亡率の推移</w:t>
      </w:r>
    </w:p>
    <w:p w:rsidR="00421DF0" w:rsidRPr="00741043" w:rsidRDefault="00421DF0" w:rsidP="00421DF0">
      <w:pPr>
        <w:ind w:firstLineChars="100" w:firstLine="200"/>
        <w:rPr>
          <w:sz w:val="20"/>
          <w:szCs w:val="20"/>
        </w:rPr>
      </w:pPr>
      <w:r w:rsidRPr="00741043">
        <w:rPr>
          <w:rFonts w:asciiTheme="minorEastAsia" w:eastAsiaTheme="minorEastAsia" w:hAnsiTheme="minorEastAsia" w:hint="eastAsia"/>
          <w:sz w:val="20"/>
          <w:szCs w:val="20"/>
        </w:rPr>
        <w:t>過去５年の日本における男女別大学生の自殺死亡率の推移（図１）を見ると、男性の自殺死亡率は多少減少してきているが女性の自殺死亡率はそれほど変化していないことがわかる。このことから、今日も自殺予防対策は以前とあまり変わっていないと言える。また、図1を見ると女性の自殺率より男性の死自殺率の方が、かなり高いと考えられる。内田によると、他者依存</w:t>
      </w:r>
      <w:r>
        <w:rPr>
          <w:rFonts w:asciiTheme="minorEastAsia" w:eastAsiaTheme="minorEastAsia" w:hAnsiTheme="minorEastAsia" w:hint="eastAsia"/>
          <w:sz w:val="20"/>
          <w:szCs w:val="20"/>
        </w:rPr>
        <w:t>が</w:t>
      </w:r>
      <w:r w:rsidRPr="00741043">
        <w:rPr>
          <w:rFonts w:asciiTheme="minorEastAsia" w:eastAsiaTheme="minorEastAsia" w:hAnsiTheme="minorEastAsia" w:hint="eastAsia"/>
          <w:sz w:val="20"/>
          <w:szCs w:val="20"/>
        </w:rPr>
        <w:t>可能か</w:t>
      </w:r>
      <w:r>
        <w:rPr>
          <w:rFonts w:asciiTheme="minorEastAsia" w:eastAsiaTheme="minorEastAsia" w:hAnsiTheme="minorEastAsia" w:hint="eastAsia"/>
          <w:sz w:val="20"/>
          <w:szCs w:val="20"/>
        </w:rPr>
        <w:t>ど</w:t>
      </w:r>
      <w:r w:rsidRPr="00741043">
        <w:rPr>
          <w:rFonts w:asciiTheme="minorEastAsia" w:eastAsiaTheme="minorEastAsia" w:hAnsiTheme="minorEastAsia" w:hint="eastAsia"/>
          <w:sz w:val="20"/>
          <w:szCs w:val="20"/>
        </w:rPr>
        <w:t>うかの社会的立場</w:t>
      </w:r>
      <w:r>
        <w:rPr>
          <w:rFonts w:asciiTheme="minorEastAsia" w:eastAsiaTheme="minorEastAsia" w:hAnsiTheme="minorEastAsia" w:hint="eastAsia"/>
          <w:sz w:val="20"/>
          <w:szCs w:val="20"/>
        </w:rPr>
        <w:t>が</w:t>
      </w:r>
      <w:r w:rsidRPr="00741043">
        <w:rPr>
          <w:rFonts w:asciiTheme="minorEastAsia" w:eastAsiaTheme="minorEastAsia" w:hAnsiTheme="minorEastAsia" w:hint="eastAsia"/>
          <w:sz w:val="20"/>
          <w:szCs w:val="20"/>
        </w:rPr>
        <w:t>自殺率にも影響していること</w:t>
      </w:r>
      <w:r>
        <w:rPr>
          <w:rFonts w:asciiTheme="minorEastAsia" w:eastAsiaTheme="minorEastAsia" w:hAnsiTheme="minorEastAsia" w:hint="eastAsia"/>
          <w:sz w:val="20"/>
          <w:szCs w:val="20"/>
        </w:rPr>
        <w:t>が</w:t>
      </w:r>
      <w:r w:rsidRPr="00741043">
        <w:rPr>
          <w:rFonts w:asciiTheme="minorEastAsia" w:eastAsiaTheme="minorEastAsia" w:hAnsiTheme="minorEastAsia" w:hint="eastAsia"/>
          <w:sz w:val="20"/>
          <w:szCs w:val="20"/>
        </w:rPr>
        <w:t>考えられるためである</w:t>
      </w:r>
      <w:r>
        <w:rPr>
          <w:rFonts w:asciiTheme="minorEastAsia" w:eastAsiaTheme="minorEastAsia" w:hAnsiTheme="minorEastAsia" w:hint="eastAsia"/>
          <w:sz w:val="20"/>
          <w:szCs w:val="20"/>
        </w:rPr>
        <w:t>[</w:t>
      </w:r>
      <w:r>
        <w:rPr>
          <w:rFonts w:asciiTheme="minorEastAsia" w:eastAsiaTheme="minorEastAsia" w:hAnsiTheme="minorEastAsia"/>
          <w:sz w:val="20"/>
          <w:szCs w:val="20"/>
        </w:rPr>
        <w:t>8]</w:t>
      </w:r>
      <w:r w:rsidRPr="00741043">
        <w:rPr>
          <w:rFonts w:asciiTheme="minorEastAsia" w:eastAsiaTheme="minorEastAsia" w:hAnsiTheme="minorEastAsia" w:hint="eastAsia"/>
          <w:sz w:val="20"/>
          <w:szCs w:val="20"/>
        </w:rPr>
        <w:t>。</w:t>
      </w:r>
    </w:p>
    <w:p w:rsidR="00D97E3A" w:rsidRPr="00D97E3A" w:rsidRDefault="00D97E3A" w:rsidP="00D97E3A">
      <w:pPr>
        <w:pStyle w:val="a5"/>
        <w:numPr>
          <w:ilvl w:val="1"/>
          <w:numId w:val="3"/>
        </w:numPr>
        <w:spacing w:beforeLines="50" w:before="120" w:afterLines="50" w:after="120"/>
        <w:ind w:leftChars="0"/>
        <w:rPr>
          <w:rFonts w:asciiTheme="majorEastAsia" w:eastAsiaTheme="majorEastAsia" w:hAnsiTheme="majorEastAsia"/>
          <w:sz w:val="24"/>
        </w:rPr>
      </w:pPr>
      <w:r w:rsidRPr="00D97E3A">
        <w:rPr>
          <w:rFonts w:asciiTheme="majorEastAsia" w:eastAsiaTheme="majorEastAsia" w:hAnsiTheme="majorEastAsia" w:hint="eastAsia"/>
          <w:sz w:val="24"/>
        </w:rPr>
        <w:t>専攻学部別自殺死亡率</w:t>
      </w:r>
    </w:p>
    <w:p w:rsidR="00421DF0" w:rsidRPr="00741043" w:rsidRDefault="00421DF0" w:rsidP="00421DF0">
      <w:pPr>
        <w:ind w:firstLineChars="100" w:firstLine="200"/>
        <w:rPr>
          <w:rFonts w:asciiTheme="minorEastAsia" w:eastAsiaTheme="minorEastAsia" w:hAnsiTheme="minorEastAsia"/>
          <w:sz w:val="20"/>
          <w:szCs w:val="20"/>
        </w:rPr>
      </w:pPr>
      <w:r w:rsidRPr="00741043">
        <w:rPr>
          <w:rFonts w:asciiTheme="minorEastAsia" w:eastAsiaTheme="minorEastAsia" w:hAnsiTheme="minorEastAsia" w:hint="eastAsia"/>
          <w:sz w:val="20"/>
          <w:szCs w:val="20"/>
        </w:rPr>
        <w:t>専攻している学部によっても自殺率は異なると考えられる。内田によると、男女別専攻別自殺率は図2のようになる。ここから、歯学部男子、医学部男子、文系男子、医学部女子の自殺率が有意に多く、文系女子、理系女子の自殺率が有意に少ないと言える。また、女子では医学部のみが男子と近い自殺率を示している。</w:t>
      </w:r>
    </w:p>
    <w:p w:rsidR="00D97E3A" w:rsidRPr="00D97E3A" w:rsidRDefault="00D97E3A" w:rsidP="00D97E3A">
      <w:pPr>
        <w:pStyle w:val="a5"/>
        <w:numPr>
          <w:ilvl w:val="1"/>
          <w:numId w:val="3"/>
        </w:numPr>
        <w:spacing w:beforeLines="50" w:before="120" w:afterLines="50" w:after="120"/>
        <w:ind w:leftChars="0"/>
        <w:rPr>
          <w:rFonts w:asciiTheme="majorEastAsia" w:eastAsiaTheme="majorEastAsia" w:hAnsiTheme="majorEastAsia"/>
          <w:sz w:val="22"/>
          <w:szCs w:val="22"/>
        </w:rPr>
      </w:pPr>
      <w:r w:rsidRPr="00D97E3A">
        <w:rPr>
          <w:rFonts w:asciiTheme="majorEastAsia" w:eastAsiaTheme="majorEastAsia" w:hAnsiTheme="majorEastAsia" w:hint="eastAsia"/>
          <w:sz w:val="22"/>
          <w:szCs w:val="22"/>
        </w:rPr>
        <w:t>悩みを相談することの障害</w:t>
      </w:r>
    </w:p>
    <w:p w:rsidR="00421DF0" w:rsidRPr="00741043" w:rsidRDefault="00421DF0" w:rsidP="00421DF0">
      <w:pPr>
        <w:ind w:firstLineChars="100" w:firstLine="200"/>
        <w:rPr>
          <w:rFonts w:asciiTheme="minorEastAsia" w:eastAsiaTheme="minorEastAsia" w:hAnsiTheme="minorEastAsia"/>
          <w:sz w:val="20"/>
          <w:szCs w:val="20"/>
        </w:rPr>
      </w:pPr>
      <w:r w:rsidRPr="00741043">
        <w:rPr>
          <w:rFonts w:asciiTheme="minorEastAsia" w:eastAsiaTheme="minorEastAsia" w:hAnsiTheme="minorEastAsia" w:hint="eastAsia"/>
          <w:sz w:val="20"/>
          <w:szCs w:val="20"/>
        </w:rPr>
        <w:t>自殺志願者のほとんどは、何かしらの悩みを抱えている可能性がある。自殺を予防するためにはまず、自殺志願者一人一人が何に悩んでいるのか</w:t>
      </w:r>
      <w:r w:rsidRPr="00741043">
        <w:rPr>
          <w:rFonts w:asciiTheme="minorEastAsia" w:eastAsiaTheme="minorEastAsia" w:hAnsiTheme="minorEastAsia" w:hint="eastAsia"/>
          <w:sz w:val="20"/>
          <w:szCs w:val="20"/>
        </w:rPr>
        <w:t>を知ることが必要であると考えられる。しかし、</w:t>
      </w:r>
      <w:r w:rsidRPr="00741043">
        <w:rPr>
          <w:rFonts w:asciiTheme="minorEastAsia" w:eastAsiaTheme="minorEastAsia" w:hAnsiTheme="minorEastAsia" w:cstheme="minorBidi" w:hint="eastAsia"/>
          <w:sz w:val="20"/>
          <w:szCs w:val="20"/>
        </w:rPr>
        <w:t>市瀬</w:t>
      </w:r>
      <w:r>
        <w:rPr>
          <w:rFonts w:asciiTheme="minorEastAsia" w:eastAsiaTheme="minorEastAsia" w:hAnsiTheme="minorEastAsia" w:cstheme="minorBidi" w:hint="eastAsia"/>
          <w:sz w:val="20"/>
          <w:szCs w:val="20"/>
        </w:rPr>
        <w:t>ら</w:t>
      </w:r>
      <w:r w:rsidRPr="00741043">
        <w:rPr>
          <w:rFonts w:asciiTheme="minorEastAsia" w:eastAsiaTheme="minorEastAsia" w:hAnsiTheme="minorEastAsia" w:cstheme="minorBidi" w:hint="eastAsia"/>
          <w:sz w:val="20"/>
          <w:szCs w:val="20"/>
        </w:rPr>
        <w:t>によると悩みを相談することには多くの障害があると言</w:t>
      </w:r>
      <w:r>
        <w:rPr>
          <w:rFonts w:asciiTheme="minorEastAsia" w:eastAsiaTheme="minorEastAsia" w:hAnsiTheme="minorEastAsia" w:cstheme="minorBidi" w:hint="eastAsia"/>
          <w:sz w:val="20"/>
          <w:szCs w:val="20"/>
        </w:rPr>
        <w:t>われている</w:t>
      </w:r>
      <w:r>
        <w:rPr>
          <w:rFonts w:asciiTheme="minorEastAsia" w:eastAsiaTheme="minorEastAsia" w:hAnsiTheme="minorEastAsia" w:cstheme="minorBidi"/>
          <w:sz w:val="20"/>
          <w:szCs w:val="20"/>
        </w:rPr>
        <w:t>[8]</w:t>
      </w:r>
      <w:r w:rsidRPr="00741043">
        <w:rPr>
          <w:rFonts w:asciiTheme="minorEastAsia" w:eastAsiaTheme="minorEastAsia" w:hAnsiTheme="minorEastAsia" w:cstheme="minorBidi" w:hint="eastAsia"/>
          <w:sz w:val="20"/>
          <w:szCs w:val="20"/>
        </w:rPr>
        <w:t>。特に、友人に相談した場合の自分のイメージが悪くなる恐れ、青年期での家族との関係の変化、専門機関の敷居の高さ、悩んでいる自分に対する抵抗感などを相談することへの障害と考える人が多い。</w:t>
      </w:r>
    </w:p>
    <w:p w:rsidR="00421DF0" w:rsidRPr="0054003E" w:rsidRDefault="00421DF0" w:rsidP="00421DF0">
      <w:pPr>
        <w:spacing w:beforeLines="50" w:before="120" w:afterLines="50" w:after="120"/>
        <w:jc w:val="center"/>
        <w:rPr>
          <w:rFonts w:asciiTheme="majorEastAsia" w:eastAsiaTheme="majorEastAsia" w:hAnsiTheme="majorEastAsia"/>
          <w:szCs w:val="19"/>
        </w:rPr>
      </w:pPr>
      <w:r>
        <w:rPr>
          <w:noProof/>
        </w:rPr>
        <w:drawing>
          <wp:anchor distT="0" distB="0" distL="114300" distR="114300" simplePos="0" relativeHeight="251660288" behindDoc="0" locked="0" layoutInCell="1" allowOverlap="1" wp14:anchorId="52B4F138" wp14:editId="0296E1AA">
            <wp:simplePos x="0" y="0"/>
            <wp:positionH relativeFrom="column">
              <wp:posOffset>33020</wp:posOffset>
            </wp:positionH>
            <wp:positionV relativeFrom="paragraph">
              <wp:posOffset>2353945</wp:posOffset>
            </wp:positionV>
            <wp:extent cx="2769870" cy="1838325"/>
            <wp:effectExtent l="0" t="0" r="11430" b="15875"/>
            <wp:wrapTopAndBottom/>
            <wp:docPr id="3" name="グラフ 3">
              <a:extLst xmlns:a="http://schemas.openxmlformats.org/drawingml/2006/main">
                <a:ext uri="{FF2B5EF4-FFF2-40B4-BE49-F238E27FC236}">
                  <a16:creationId xmlns:a16="http://schemas.microsoft.com/office/drawing/2014/main" id="{E032AD7A-1944-8147-B6AE-D41D8ECFB13C}"/>
                </a:ext>
                <a:ext uri="{147F2762-F138-4A5C-976F-8EAC2B608ADB}">
                  <a16:predDERef xmlns:a16="http://schemas.microsoft.com/office/drawing/2014/main" pred="{840F6BBE-9657-463A-BDB3-C47BAD6903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Pr="00982878">
        <w:rPr>
          <w:rFonts w:asciiTheme="majorEastAsia" w:eastAsiaTheme="majorEastAsia" w:hAnsiTheme="majorEastAsia" w:hint="eastAsia"/>
          <w:szCs w:val="19"/>
        </w:rPr>
        <w:t xml:space="preserve">図1　20〜24歳男女別自殺死亡率の推移 </w:t>
      </w:r>
      <w:r>
        <w:rPr>
          <w:rFonts w:asciiTheme="majorEastAsia" w:eastAsiaTheme="majorEastAsia" w:hAnsiTheme="majorEastAsia"/>
          <w:szCs w:val="19"/>
        </w:rPr>
        <w:br/>
      </w:r>
      <w:r w:rsidRPr="00982878">
        <w:rPr>
          <w:rFonts w:asciiTheme="majorEastAsia" w:eastAsiaTheme="majorEastAsia" w:hAnsiTheme="majorEastAsia" w:hint="eastAsia"/>
          <w:szCs w:val="19"/>
        </w:rPr>
        <w:t>（人口10万対）</w:t>
      </w:r>
      <w:r>
        <w:rPr>
          <w:rFonts w:asciiTheme="majorEastAsia" w:eastAsiaTheme="majorEastAsia" w:hAnsiTheme="majorEastAsia" w:hint="eastAsia"/>
          <w:szCs w:val="19"/>
        </w:rPr>
        <w:t>[</w:t>
      </w:r>
      <w:r w:rsidRPr="00982878">
        <w:rPr>
          <w:rFonts w:asciiTheme="majorEastAsia" w:eastAsiaTheme="majorEastAsia" w:hAnsiTheme="majorEastAsia" w:hint="eastAsia"/>
          <w:szCs w:val="19"/>
        </w:rPr>
        <w:t>1</w:t>
      </w:r>
      <w:r>
        <w:rPr>
          <w:rFonts w:asciiTheme="majorEastAsia" w:eastAsiaTheme="majorEastAsia" w:hAnsiTheme="majorEastAsia"/>
          <w:szCs w:val="19"/>
        </w:rPr>
        <w:t>,2,3,4,</w:t>
      </w:r>
      <w:r w:rsidRPr="00982878">
        <w:rPr>
          <w:rFonts w:asciiTheme="majorEastAsia" w:eastAsiaTheme="majorEastAsia" w:hAnsiTheme="majorEastAsia" w:hint="eastAsia"/>
          <w:szCs w:val="19"/>
        </w:rPr>
        <w:t>5</w:t>
      </w:r>
      <w:r>
        <w:rPr>
          <w:rFonts w:asciiTheme="majorEastAsia" w:eastAsiaTheme="majorEastAsia" w:hAnsiTheme="majorEastAsia"/>
          <w:szCs w:val="19"/>
        </w:rPr>
        <w:t>]</w:t>
      </w:r>
    </w:p>
    <w:p w:rsidR="00421DF0" w:rsidRPr="0054003E" w:rsidRDefault="00421DF0" w:rsidP="00421DF0">
      <w:pPr>
        <w:spacing w:beforeLines="50" w:before="120" w:afterLines="50" w:after="120"/>
        <w:ind w:firstLineChars="100" w:firstLine="190"/>
        <w:jc w:val="center"/>
        <w:rPr>
          <w:rFonts w:asciiTheme="majorEastAsia" w:eastAsiaTheme="majorEastAsia" w:hAnsiTheme="majorEastAsia"/>
        </w:rPr>
      </w:pPr>
      <w:r w:rsidRPr="00982878">
        <w:rPr>
          <w:rFonts w:asciiTheme="majorEastAsia" w:eastAsiaTheme="majorEastAsia" w:hAnsiTheme="majorEastAsia" w:hint="eastAsia"/>
        </w:rPr>
        <w:t>図2 男女別専攻別自殺率</w:t>
      </w:r>
      <w:r>
        <w:rPr>
          <w:rFonts w:asciiTheme="majorEastAsia" w:eastAsiaTheme="majorEastAsia" w:hAnsiTheme="majorEastAsia"/>
        </w:rPr>
        <w:br/>
      </w:r>
      <w:r w:rsidRPr="00982878">
        <w:rPr>
          <w:rFonts w:asciiTheme="majorEastAsia" w:eastAsiaTheme="majorEastAsia" w:hAnsiTheme="majorEastAsia" w:hint="eastAsia"/>
        </w:rPr>
        <w:t>（1985〜2005年度，学生10万比）</w:t>
      </w:r>
      <w:r>
        <w:rPr>
          <w:rFonts w:asciiTheme="majorEastAsia" w:eastAsiaTheme="majorEastAsia" w:hAnsiTheme="majorEastAsia" w:hint="eastAsia"/>
        </w:rPr>
        <w:t>[</w:t>
      </w:r>
      <w:r w:rsidRPr="00982878">
        <w:rPr>
          <w:rFonts w:asciiTheme="majorEastAsia" w:eastAsiaTheme="majorEastAsia" w:hAnsiTheme="majorEastAsia" w:hint="eastAsia"/>
        </w:rPr>
        <w:t>6</w:t>
      </w:r>
      <w:r>
        <w:rPr>
          <w:rFonts w:asciiTheme="majorEastAsia" w:eastAsiaTheme="majorEastAsia" w:hAnsiTheme="majorEastAsia"/>
        </w:rPr>
        <w:t>]</w:t>
      </w:r>
    </w:p>
    <w:p w:rsidR="00421DF0" w:rsidRPr="00D97E3A" w:rsidRDefault="00421DF0" w:rsidP="00D97E3A">
      <w:pPr>
        <w:pStyle w:val="a5"/>
        <w:numPr>
          <w:ilvl w:val="1"/>
          <w:numId w:val="3"/>
        </w:numPr>
        <w:spacing w:beforeLines="50" w:before="120" w:afterLines="50" w:after="120"/>
        <w:ind w:leftChars="0"/>
        <w:rPr>
          <w:rFonts w:asciiTheme="majorEastAsia" w:eastAsiaTheme="majorEastAsia" w:hAnsiTheme="majorEastAsia"/>
          <w:sz w:val="22"/>
          <w:szCs w:val="22"/>
        </w:rPr>
      </w:pPr>
      <w:r w:rsidRPr="00D97E3A">
        <w:rPr>
          <w:rFonts w:asciiTheme="majorEastAsia" w:eastAsiaTheme="majorEastAsia" w:hAnsiTheme="majorEastAsia" w:hint="eastAsia"/>
          <w:sz w:val="22"/>
          <w:szCs w:val="22"/>
        </w:rPr>
        <w:t>自殺動機・原因</w:t>
      </w:r>
    </w:p>
    <w:p w:rsidR="00421DF0" w:rsidRPr="00741043" w:rsidRDefault="00421DF0" w:rsidP="00421DF0">
      <w:pPr>
        <w:ind w:firstLineChars="100" w:firstLine="200"/>
        <w:rPr>
          <w:rFonts w:asciiTheme="minorEastAsia" w:eastAsiaTheme="minorEastAsia" w:hAnsiTheme="minorEastAsia"/>
          <w:sz w:val="20"/>
          <w:szCs w:val="20"/>
        </w:rPr>
      </w:pPr>
      <w:r w:rsidRPr="00741043">
        <w:rPr>
          <w:rFonts w:asciiTheme="minorEastAsia" w:eastAsiaTheme="minorEastAsia" w:hAnsiTheme="minorEastAsia" w:hint="eastAsia"/>
          <w:sz w:val="20"/>
          <w:szCs w:val="20"/>
        </w:rPr>
        <w:t>度々、大学生の自殺動機・原因としてあげられるのは、男女問題や学校問題であるが、</w:t>
      </w:r>
      <w:r w:rsidR="008757E4">
        <w:rPr>
          <w:rFonts w:asciiTheme="minorEastAsia" w:eastAsiaTheme="minorEastAsia" w:hAnsiTheme="minorEastAsia" w:hint="eastAsia"/>
          <w:sz w:val="20"/>
          <w:szCs w:val="20"/>
        </w:rPr>
        <w:t>実態を調</w:t>
      </w:r>
      <w:r w:rsidR="008757E4">
        <w:rPr>
          <w:rFonts w:asciiTheme="minorEastAsia" w:eastAsiaTheme="minorEastAsia" w:hAnsiTheme="minorEastAsia" w:hint="eastAsia"/>
          <w:sz w:val="20"/>
          <w:szCs w:val="20"/>
        </w:rPr>
        <w:lastRenderedPageBreak/>
        <w:t>査する。</w:t>
      </w:r>
      <w:r w:rsidRPr="00741043">
        <w:rPr>
          <w:rFonts w:asciiTheme="minorEastAsia" w:eastAsiaTheme="minorEastAsia" w:hAnsiTheme="minorEastAsia" w:hint="eastAsia"/>
          <w:sz w:val="20"/>
          <w:szCs w:val="20"/>
        </w:rPr>
        <w:t>平成30年の厚生労働省のデータ</w:t>
      </w:r>
      <w:r w:rsidR="008757E4">
        <w:rPr>
          <w:rFonts w:asciiTheme="minorEastAsia" w:eastAsiaTheme="minorEastAsia" w:hAnsiTheme="minorEastAsia" w:hint="eastAsia"/>
          <w:sz w:val="20"/>
          <w:szCs w:val="20"/>
        </w:rPr>
        <w:t>による</w:t>
      </w:r>
      <w:r w:rsidRPr="00741043">
        <w:rPr>
          <w:rFonts w:asciiTheme="minorEastAsia" w:eastAsiaTheme="minorEastAsia" w:hAnsiTheme="minorEastAsia" w:hint="eastAsia"/>
          <w:sz w:val="20"/>
          <w:szCs w:val="20"/>
        </w:rPr>
        <w:t>と、図3のような原因がある</w:t>
      </w:r>
      <w:r w:rsidR="008757E4">
        <w:rPr>
          <w:rFonts w:asciiTheme="minorEastAsia" w:eastAsiaTheme="minorEastAsia" w:hAnsiTheme="minorEastAsia" w:hint="eastAsia"/>
          <w:sz w:val="20"/>
          <w:szCs w:val="20"/>
        </w:rPr>
        <w:t>ことが</w:t>
      </w:r>
      <w:r w:rsidRPr="00741043">
        <w:rPr>
          <w:rFonts w:asciiTheme="minorEastAsia" w:eastAsiaTheme="minorEastAsia" w:hAnsiTheme="minorEastAsia" w:hint="eastAsia"/>
          <w:sz w:val="20"/>
          <w:szCs w:val="20"/>
        </w:rPr>
        <w:t>明らかになった。この図を見</w:t>
      </w:r>
      <w:r w:rsidR="000B217C">
        <w:rPr>
          <w:rFonts w:asciiTheme="minorEastAsia" w:eastAsiaTheme="minorEastAsia" w:hAnsiTheme="minorEastAsia" w:hint="eastAsia"/>
          <w:sz w:val="20"/>
          <w:szCs w:val="20"/>
        </w:rPr>
        <w:t>る</w:t>
      </w:r>
      <w:r w:rsidRPr="00741043">
        <w:rPr>
          <w:rFonts w:asciiTheme="minorEastAsia" w:eastAsiaTheme="minorEastAsia" w:hAnsiTheme="minorEastAsia" w:hint="eastAsia"/>
          <w:sz w:val="20"/>
          <w:szCs w:val="20"/>
        </w:rPr>
        <w:t>と、やはり学校関係による自殺者が圧倒的に多いと考えられる。一方で、男女問</w:t>
      </w:r>
      <w:r w:rsidR="000B217C">
        <w:rPr>
          <w:noProof/>
        </w:rPr>
        <w:drawing>
          <wp:anchor distT="0" distB="0" distL="114300" distR="114300" simplePos="0" relativeHeight="251661312" behindDoc="0" locked="0" layoutInCell="1" allowOverlap="1" wp14:anchorId="715BF4F2" wp14:editId="6FD0DEFA">
            <wp:simplePos x="0" y="0"/>
            <wp:positionH relativeFrom="column">
              <wp:posOffset>4445</wp:posOffset>
            </wp:positionH>
            <wp:positionV relativeFrom="paragraph">
              <wp:posOffset>967740</wp:posOffset>
            </wp:positionV>
            <wp:extent cx="2652395" cy="2362200"/>
            <wp:effectExtent l="0" t="0" r="1905" b="0"/>
            <wp:wrapTopAndBottom/>
            <wp:docPr id="4" name="グラフ 4">
              <a:extLst xmlns:a="http://schemas.openxmlformats.org/drawingml/2006/main">
                <a:ext uri="{FF2B5EF4-FFF2-40B4-BE49-F238E27FC236}">
                  <a16:creationId xmlns:a16="http://schemas.microsoft.com/office/drawing/2014/main" id="{02C5DA38-70F9-F144-9991-CE0EEF6F7E25}"/>
                </a:ext>
                <a:ext uri="{147F2762-F138-4A5C-976F-8EAC2B608ADB}">
                  <a16:predDERef xmlns:a16="http://schemas.microsoft.com/office/drawing/2014/main" pred="{840F6BBE-9657-463A-BDB3-C47BAD6903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Pr="00741043">
        <w:rPr>
          <w:rFonts w:asciiTheme="minorEastAsia" w:eastAsiaTheme="minorEastAsia" w:hAnsiTheme="minorEastAsia" w:hint="eastAsia"/>
          <w:sz w:val="20"/>
          <w:szCs w:val="20"/>
        </w:rPr>
        <w:t>題での自殺者は、少ないということが判明した。</w:t>
      </w:r>
    </w:p>
    <w:p w:rsidR="00421DF0" w:rsidRPr="0054003E" w:rsidRDefault="00421DF0" w:rsidP="00421DF0">
      <w:pPr>
        <w:jc w:val="center"/>
        <w:rPr>
          <w:rFonts w:asciiTheme="majorEastAsia" w:eastAsiaTheme="majorEastAsia" w:hAnsiTheme="majorEastAsia"/>
          <w:sz w:val="22"/>
          <w:szCs w:val="22"/>
        </w:rPr>
      </w:pPr>
      <w:r w:rsidRPr="00982878">
        <w:rPr>
          <w:rFonts w:asciiTheme="majorEastAsia" w:eastAsiaTheme="majorEastAsia" w:hAnsiTheme="majorEastAsia" w:hint="eastAsia"/>
          <w:szCs w:val="19"/>
        </w:rPr>
        <w:t>図3　動機・原因別自殺者数</w:t>
      </w:r>
      <w:r>
        <w:rPr>
          <w:rFonts w:asciiTheme="majorEastAsia" w:eastAsiaTheme="majorEastAsia" w:hAnsiTheme="majorEastAsia" w:hint="eastAsia"/>
          <w:szCs w:val="19"/>
        </w:rPr>
        <w:t>[</w:t>
      </w:r>
      <w:r w:rsidRPr="00982878">
        <w:rPr>
          <w:rFonts w:asciiTheme="majorEastAsia" w:eastAsiaTheme="majorEastAsia" w:hAnsiTheme="majorEastAsia" w:hint="eastAsia"/>
          <w:szCs w:val="19"/>
        </w:rPr>
        <w:t>7</w:t>
      </w:r>
      <w:r>
        <w:rPr>
          <w:rFonts w:asciiTheme="majorEastAsia" w:eastAsiaTheme="majorEastAsia" w:hAnsiTheme="majorEastAsia"/>
          <w:szCs w:val="19"/>
        </w:rPr>
        <w:t>]</w:t>
      </w:r>
    </w:p>
    <w:p w:rsidR="00D97E3A" w:rsidRPr="00D97E3A" w:rsidRDefault="00D97E3A" w:rsidP="00D97E3A">
      <w:pPr>
        <w:pStyle w:val="a5"/>
        <w:numPr>
          <w:ilvl w:val="0"/>
          <w:numId w:val="3"/>
        </w:numPr>
        <w:spacing w:beforeLines="50" w:before="120" w:afterLines="50" w:after="120"/>
        <w:ind w:leftChars="0"/>
        <w:rPr>
          <w:rFonts w:asciiTheme="majorEastAsia" w:eastAsiaTheme="majorEastAsia" w:hAnsiTheme="majorEastAsia"/>
          <w:sz w:val="24"/>
        </w:rPr>
      </w:pPr>
      <w:r w:rsidRPr="00D97E3A">
        <w:rPr>
          <w:rFonts w:asciiTheme="majorEastAsia" w:eastAsiaTheme="majorEastAsia" w:hAnsiTheme="majorEastAsia" w:hint="eastAsia"/>
          <w:sz w:val="24"/>
        </w:rPr>
        <w:t>考察</w:t>
      </w:r>
    </w:p>
    <w:p w:rsidR="00421DF0" w:rsidRPr="00741043" w:rsidRDefault="00421DF0" w:rsidP="00421DF0">
      <w:pPr>
        <w:ind w:firstLineChars="100" w:firstLine="200"/>
        <w:rPr>
          <w:rFonts w:asciiTheme="minorEastAsia" w:eastAsiaTheme="minorEastAsia" w:hAnsiTheme="minorEastAsia"/>
          <w:sz w:val="20"/>
          <w:szCs w:val="20"/>
        </w:rPr>
      </w:pPr>
      <w:r>
        <w:rPr>
          <w:rFonts w:asciiTheme="minorEastAsia" w:eastAsiaTheme="minorEastAsia" w:hAnsiTheme="minorEastAsia" w:hint="eastAsia"/>
          <w:sz w:val="20"/>
          <w:szCs w:val="20"/>
        </w:rPr>
        <w:t>これらのデータを踏まえると</w:t>
      </w:r>
      <w:r w:rsidRPr="00741043">
        <w:rPr>
          <w:rFonts w:asciiTheme="minorEastAsia" w:eastAsiaTheme="minorEastAsia" w:hAnsiTheme="minorEastAsia" w:hint="eastAsia"/>
          <w:sz w:val="20"/>
          <w:szCs w:val="20"/>
        </w:rPr>
        <w:t>、日本における大学生の自殺予防対策としては、①男女関係なく相談しやすい環境を整える ②医学部生への精神的支援を行う ということが考えられる。①に関しては、男性は社会的立場上、相談することを避ける傾向にあり、女性でも悩みを相談することに抵抗感を持っている人が多い。そのため、まずは相談することはネガティブなことではないことを伝え、相談することへの抵抗感をなくすことが重要である。また、気軽に相談ができるように相談室に行かずともメールや電話を用いて相談可能にすると良いのではないだろうか。②に関しては、医学部生は人の生死を扱うためストレスが多くかかる。また、精神的にも肉体的にも相当なエネルギーを要し、精神のバランスを崩しやすいため、男女ともに自殺率が高い。この状態を改善するためにはやはり、医学部生への精神的支援が必要である。</w:t>
      </w:r>
    </w:p>
    <w:p w:rsidR="00421DF0" w:rsidRDefault="00421DF0" w:rsidP="00D97E3A">
      <w:pPr>
        <w:ind w:firstLineChars="100" w:firstLine="200"/>
        <w:rPr>
          <w:rFonts w:asciiTheme="minorEastAsia" w:eastAsiaTheme="minorEastAsia" w:hAnsiTheme="minorEastAsia"/>
          <w:sz w:val="20"/>
          <w:szCs w:val="20"/>
        </w:rPr>
      </w:pPr>
      <w:r w:rsidRPr="00741043">
        <w:rPr>
          <w:rFonts w:asciiTheme="minorEastAsia" w:eastAsiaTheme="minorEastAsia" w:hAnsiTheme="minorEastAsia" w:hint="eastAsia"/>
          <w:sz w:val="20"/>
          <w:szCs w:val="20"/>
        </w:rPr>
        <w:t>また、</w:t>
      </w:r>
      <w:r w:rsidRPr="00675541">
        <w:rPr>
          <w:rFonts w:asciiTheme="minorEastAsia" w:eastAsiaTheme="minorEastAsia" w:hAnsiTheme="minorEastAsia" w:hint="eastAsia"/>
          <w:sz w:val="20"/>
          <w:szCs w:val="20"/>
        </w:rPr>
        <w:t>自殺動機・原因</w:t>
      </w:r>
      <w:r w:rsidRPr="00741043">
        <w:rPr>
          <w:rFonts w:asciiTheme="minorEastAsia" w:eastAsiaTheme="minorEastAsia" w:hAnsiTheme="minorEastAsia" w:hint="eastAsia"/>
          <w:sz w:val="20"/>
          <w:szCs w:val="20"/>
        </w:rPr>
        <w:t>に関して、自殺の多くは単一の理由から起こるのではなく、様々な要因が複雑に絡み合ったうえで起こるものである。本データは自殺者の遺言等をもとに作成されている為、遺言に記載されていなかったことも、実際は自殺動機になっている可能性がある。そのため、一見自殺者が少ないように見える動機も実際に少ないとは言えないと考えられる。</w:t>
      </w:r>
    </w:p>
    <w:p w:rsidR="00D97E3A" w:rsidRPr="00D97E3A" w:rsidRDefault="00D97E3A" w:rsidP="00D97E3A">
      <w:pPr>
        <w:pStyle w:val="a5"/>
        <w:numPr>
          <w:ilvl w:val="0"/>
          <w:numId w:val="3"/>
        </w:numPr>
        <w:spacing w:beforeLines="50" w:before="120" w:afterLines="50" w:after="120"/>
        <w:ind w:leftChars="0"/>
        <w:rPr>
          <w:rFonts w:asciiTheme="majorEastAsia" w:eastAsiaTheme="majorEastAsia" w:hAnsiTheme="majorEastAsia"/>
          <w:sz w:val="24"/>
        </w:rPr>
      </w:pPr>
      <w:r w:rsidRPr="00D97E3A">
        <w:rPr>
          <w:rFonts w:asciiTheme="majorEastAsia" w:eastAsiaTheme="majorEastAsia" w:hAnsiTheme="majorEastAsia" w:hint="eastAsia"/>
          <w:sz w:val="24"/>
        </w:rPr>
        <w:t>おわりに</w:t>
      </w:r>
    </w:p>
    <w:p w:rsidR="00421DF0" w:rsidRPr="00421DF0" w:rsidRDefault="00421DF0" w:rsidP="00421DF0">
      <w:pPr>
        <w:ind w:firstLineChars="100" w:firstLine="200"/>
        <w:rPr>
          <w:rFonts w:asciiTheme="minorEastAsia" w:eastAsiaTheme="minorEastAsia" w:hAnsiTheme="minorEastAsia"/>
          <w:sz w:val="20"/>
          <w:szCs w:val="20"/>
        </w:rPr>
      </w:pPr>
      <w:r w:rsidRPr="00421DF0">
        <w:rPr>
          <w:rFonts w:asciiTheme="minorEastAsia" w:eastAsiaTheme="minorEastAsia" w:hAnsiTheme="minorEastAsia" w:hint="eastAsia"/>
          <w:sz w:val="20"/>
          <w:szCs w:val="20"/>
        </w:rPr>
        <w:t>本稿では、日本における大学生の自殺問題について取り上げた。調査した結果、過去5年の男女別自殺死亡率はそれほど変化しておらず、自殺予防対策が十分に機能していないことが示唆された。また、学部によっても自殺率の違いが見受けられた。自殺予防対策としては、悩み相談が重要だと考えられたが、様々な障害があり、相談することに抵抗を持つ人が多いことも明らかになった。ここから、日本における自殺予防対策として①男女関係なく相談しやすい環境を整える ②医学部生への精神的支援を行うことが重要であると考察した。</w:t>
      </w:r>
    </w:p>
    <w:p w:rsidR="00421DF0" w:rsidRPr="00F35078" w:rsidRDefault="00421DF0" w:rsidP="00421DF0">
      <w:pPr>
        <w:spacing w:beforeLines="50" w:before="120" w:afterLines="50" w:after="120"/>
        <w:rPr>
          <w:rFonts w:asciiTheme="majorEastAsia" w:eastAsiaTheme="majorEastAsia" w:hAnsiTheme="majorEastAsia"/>
          <w:b/>
          <w:bCs/>
          <w:sz w:val="22"/>
          <w:szCs w:val="22"/>
        </w:rPr>
      </w:pPr>
      <w:r w:rsidRPr="00F35078">
        <w:rPr>
          <w:rFonts w:asciiTheme="majorEastAsia" w:eastAsiaTheme="majorEastAsia" w:hAnsiTheme="majorEastAsia" w:hint="eastAsia"/>
          <w:b/>
          <w:bCs/>
          <w:sz w:val="22"/>
          <w:szCs w:val="22"/>
        </w:rPr>
        <w:t>参考文献</w:t>
      </w:r>
    </w:p>
    <w:p w:rsidR="00421DF0" w:rsidRPr="0028228E" w:rsidRDefault="00421DF0" w:rsidP="00421DF0">
      <w:pPr>
        <w:pStyle w:val="a5"/>
        <w:numPr>
          <w:ilvl w:val="0"/>
          <w:numId w:val="2"/>
        </w:numPr>
        <w:ind w:leftChars="0"/>
        <w:rPr>
          <w:rFonts w:asciiTheme="minorEastAsia" w:eastAsiaTheme="minorEastAsia" w:hAnsiTheme="minorEastAsia" w:cstheme="minorBidi"/>
          <w:color w:val="000000" w:themeColor="text1"/>
          <w:sz w:val="18"/>
          <w:szCs w:val="18"/>
        </w:rPr>
      </w:pPr>
      <w:r w:rsidRPr="001D0787">
        <w:rPr>
          <w:rFonts w:asciiTheme="minorEastAsia" w:eastAsiaTheme="minorEastAsia" w:hAnsiTheme="minorEastAsia" w:cstheme="minorBidi"/>
          <w:sz w:val="18"/>
          <w:szCs w:val="18"/>
        </w:rPr>
        <w:t>厚生労働省.</w:t>
      </w:r>
      <w:r w:rsidRPr="009F1241">
        <w:rPr>
          <w:rFonts w:asciiTheme="minorEastAsia" w:eastAsiaTheme="minorEastAsia" w:hAnsiTheme="minorEastAsia" w:cstheme="minorBidi"/>
          <w:sz w:val="18"/>
          <w:szCs w:val="18"/>
        </w:rPr>
        <w:t>“死因順位（１～５位）別死亡数・死亡</w:t>
      </w:r>
      <w:r w:rsidRPr="0028228E">
        <w:rPr>
          <w:rFonts w:asciiTheme="minorEastAsia" w:eastAsiaTheme="minorEastAsia" w:hAnsiTheme="minorEastAsia" w:cstheme="minorBidi"/>
          <w:color w:val="000000" w:themeColor="text1"/>
          <w:sz w:val="18"/>
          <w:szCs w:val="18"/>
        </w:rPr>
        <w:t>率（人口10万対）”, 2014.</w:t>
      </w:r>
      <w:r w:rsidRPr="0028228E">
        <w:rPr>
          <w:rFonts w:asciiTheme="minorEastAsia" w:eastAsiaTheme="minorEastAsia" w:hAnsiTheme="minorEastAsia" w:cstheme="minorBidi"/>
          <w:color w:val="000000" w:themeColor="text1"/>
          <w:sz w:val="18"/>
          <w:szCs w:val="18"/>
        </w:rPr>
        <w:br/>
        <w:t>https://www.mhlw.go.jp/toukei/saikin/hw/jinkou/geppo/nengai14/dl/h7.pdf（</w:t>
      </w:r>
      <w:r w:rsidRPr="0028228E">
        <w:rPr>
          <w:rFonts w:asciiTheme="minorEastAsia" w:eastAsiaTheme="minorEastAsia" w:hAnsiTheme="minorEastAsia" w:cs="Century"/>
          <w:color w:val="000000" w:themeColor="text1"/>
          <w:sz w:val="18"/>
          <w:szCs w:val="18"/>
        </w:rPr>
        <w:t>2020/04/01閲覧</w:t>
      </w:r>
      <w:r w:rsidRPr="0028228E">
        <w:rPr>
          <w:rFonts w:asciiTheme="minorEastAsia" w:eastAsiaTheme="minorEastAsia" w:hAnsiTheme="minorEastAsia" w:cstheme="minorBidi"/>
          <w:color w:val="000000" w:themeColor="text1"/>
          <w:sz w:val="18"/>
          <w:szCs w:val="18"/>
        </w:rPr>
        <w:t>）</w:t>
      </w:r>
    </w:p>
    <w:p w:rsidR="00421DF0" w:rsidRPr="0028228E" w:rsidRDefault="00421DF0" w:rsidP="00421DF0">
      <w:pPr>
        <w:pStyle w:val="a5"/>
        <w:numPr>
          <w:ilvl w:val="0"/>
          <w:numId w:val="2"/>
        </w:numPr>
        <w:ind w:leftChars="0"/>
        <w:rPr>
          <w:rFonts w:asciiTheme="minorEastAsia" w:eastAsiaTheme="minorEastAsia" w:hAnsiTheme="minorEastAsia" w:cstheme="minorBidi"/>
          <w:color w:val="000000" w:themeColor="text1"/>
          <w:sz w:val="18"/>
          <w:szCs w:val="18"/>
        </w:rPr>
      </w:pPr>
      <w:r w:rsidRPr="0028228E">
        <w:rPr>
          <w:rFonts w:asciiTheme="minorEastAsia" w:eastAsiaTheme="minorEastAsia" w:hAnsiTheme="minorEastAsia" w:cstheme="minorBidi"/>
          <w:color w:val="000000" w:themeColor="text1"/>
          <w:sz w:val="18"/>
          <w:szCs w:val="18"/>
        </w:rPr>
        <w:t>厚生労働省.“死因順位（１～５位）別死亡数・死亡率（人口10万対）”, 2015.</w:t>
      </w:r>
      <w:r w:rsidRPr="0028228E">
        <w:rPr>
          <w:rFonts w:asciiTheme="minorEastAsia" w:eastAsiaTheme="minorEastAsia" w:hAnsiTheme="minorEastAsia" w:cstheme="minorBidi"/>
          <w:color w:val="000000" w:themeColor="text1"/>
          <w:sz w:val="18"/>
          <w:szCs w:val="18"/>
        </w:rPr>
        <w:br/>
        <w:t>https://www.mhlw.go.jp/toukei/saikin/hw/jinkou/geppo/nengai15/dl/h7.pdf（</w:t>
      </w:r>
      <w:r w:rsidRPr="0028228E">
        <w:rPr>
          <w:rFonts w:asciiTheme="minorEastAsia" w:eastAsiaTheme="minorEastAsia" w:hAnsiTheme="minorEastAsia" w:cs="Century"/>
          <w:color w:val="000000" w:themeColor="text1"/>
          <w:sz w:val="18"/>
          <w:szCs w:val="18"/>
        </w:rPr>
        <w:t>2020/04/01閲覧</w:t>
      </w:r>
      <w:r w:rsidRPr="0028228E">
        <w:rPr>
          <w:rFonts w:asciiTheme="minorEastAsia" w:eastAsiaTheme="minorEastAsia" w:hAnsiTheme="minorEastAsia" w:cstheme="minorBidi"/>
          <w:color w:val="000000" w:themeColor="text1"/>
          <w:sz w:val="18"/>
          <w:szCs w:val="18"/>
        </w:rPr>
        <w:t>）</w:t>
      </w:r>
    </w:p>
    <w:p w:rsidR="00421DF0" w:rsidRPr="0028228E" w:rsidRDefault="00421DF0" w:rsidP="00421DF0">
      <w:pPr>
        <w:pStyle w:val="a5"/>
        <w:numPr>
          <w:ilvl w:val="0"/>
          <w:numId w:val="2"/>
        </w:numPr>
        <w:ind w:leftChars="0"/>
        <w:rPr>
          <w:rFonts w:asciiTheme="minorEastAsia" w:eastAsiaTheme="minorEastAsia" w:hAnsiTheme="minorEastAsia" w:cstheme="minorBidi"/>
          <w:color w:val="000000" w:themeColor="text1"/>
          <w:sz w:val="18"/>
          <w:szCs w:val="18"/>
        </w:rPr>
      </w:pPr>
      <w:r w:rsidRPr="0028228E">
        <w:rPr>
          <w:rFonts w:asciiTheme="minorEastAsia" w:eastAsiaTheme="minorEastAsia" w:hAnsiTheme="minorEastAsia" w:cstheme="minorBidi"/>
          <w:color w:val="000000" w:themeColor="text1"/>
          <w:sz w:val="18"/>
          <w:szCs w:val="18"/>
        </w:rPr>
        <w:t>厚生労働省.“死因順位（１～５位）別死亡数・死亡率（人口10万対）”, 2016.</w:t>
      </w:r>
      <w:r w:rsidRPr="0028228E">
        <w:rPr>
          <w:rFonts w:asciiTheme="minorEastAsia" w:eastAsiaTheme="minorEastAsia" w:hAnsiTheme="minorEastAsia" w:cstheme="minorBidi"/>
          <w:color w:val="000000" w:themeColor="text1"/>
          <w:sz w:val="18"/>
          <w:szCs w:val="18"/>
        </w:rPr>
        <w:br/>
        <w:t>https://www.mhlw.go.jp/toukei/saikin/hw/jinkou/geppo/nengai16/dl/h7.pdf（</w:t>
      </w:r>
      <w:r w:rsidRPr="0028228E">
        <w:rPr>
          <w:rFonts w:asciiTheme="minorEastAsia" w:eastAsiaTheme="minorEastAsia" w:hAnsiTheme="minorEastAsia" w:cs="Century"/>
          <w:color w:val="000000" w:themeColor="text1"/>
          <w:sz w:val="18"/>
          <w:szCs w:val="18"/>
        </w:rPr>
        <w:t>2020/04/01閲覧</w:t>
      </w:r>
      <w:r w:rsidRPr="0028228E">
        <w:rPr>
          <w:rFonts w:asciiTheme="minorEastAsia" w:eastAsiaTheme="minorEastAsia" w:hAnsiTheme="minorEastAsia" w:cstheme="minorBidi"/>
          <w:color w:val="000000" w:themeColor="text1"/>
          <w:sz w:val="18"/>
          <w:szCs w:val="18"/>
        </w:rPr>
        <w:t>）</w:t>
      </w:r>
    </w:p>
    <w:p w:rsidR="00421DF0" w:rsidRPr="0028228E" w:rsidRDefault="00421DF0" w:rsidP="00421DF0">
      <w:pPr>
        <w:pStyle w:val="a5"/>
        <w:numPr>
          <w:ilvl w:val="0"/>
          <w:numId w:val="2"/>
        </w:numPr>
        <w:ind w:leftChars="0"/>
        <w:rPr>
          <w:rFonts w:asciiTheme="minorEastAsia" w:eastAsiaTheme="minorEastAsia" w:hAnsiTheme="minorEastAsia" w:cstheme="minorBidi"/>
          <w:color w:val="000000" w:themeColor="text1"/>
          <w:sz w:val="18"/>
          <w:szCs w:val="18"/>
        </w:rPr>
      </w:pPr>
      <w:r w:rsidRPr="0028228E">
        <w:rPr>
          <w:rFonts w:asciiTheme="minorEastAsia" w:eastAsiaTheme="minorEastAsia" w:hAnsiTheme="minorEastAsia" w:cstheme="minorBidi"/>
          <w:color w:val="000000" w:themeColor="text1"/>
          <w:sz w:val="18"/>
          <w:szCs w:val="18"/>
        </w:rPr>
        <w:t>厚生労働省.“死因順位（１～５位）別死亡数・死亡率（人口10万対）”, 2017.</w:t>
      </w:r>
      <w:r w:rsidRPr="0028228E">
        <w:rPr>
          <w:rFonts w:asciiTheme="minorEastAsia" w:eastAsiaTheme="minorEastAsia" w:hAnsiTheme="minorEastAsia" w:cstheme="minorBidi"/>
          <w:color w:val="000000" w:themeColor="text1"/>
          <w:sz w:val="18"/>
          <w:szCs w:val="18"/>
        </w:rPr>
        <w:br/>
        <w:t>https://w</w:t>
      </w:r>
      <w:r w:rsidRPr="0028228E">
        <w:rPr>
          <w:rFonts w:asciiTheme="minorEastAsia" w:eastAsiaTheme="minorEastAsia" w:hAnsiTheme="minorEastAsia" w:cstheme="minorBidi"/>
          <w:color w:val="000000" w:themeColor="text1"/>
          <w:sz w:val="18"/>
          <w:szCs w:val="18"/>
        </w:rPr>
        <w:t>w</w:t>
      </w:r>
      <w:r w:rsidRPr="0028228E">
        <w:rPr>
          <w:rFonts w:asciiTheme="minorEastAsia" w:eastAsiaTheme="minorEastAsia" w:hAnsiTheme="minorEastAsia" w:cstheme="minorBidi"/>
          <w:color w:val="000000" w:themeColor="text1"/>
          <w:sz w:val="18"/>
          <w:szCs w:val="18"/>
        </w:rPr>
        <w:t>w.mhlw.go.jp/toukei/saikin/hw/jinkou/geppo/nengai17/dl/h7.pdf（</w:t>
      </w:r>
      <w:r w:rsidRPr="0028228E">
        <w:rPr>
          <w:rFonts w:asciiTheme="minorEastAsia" w:eastAsiaTheme="minorEastAsia" w:hAnsiTheme="minorEastAsia" w:cs="Century"/>
          <w:color w:val="000000" w:themeColor="text1"/>
          <w:sz w:val="18"/>
          <w:szCs w:val="18"/>
        </w:rPr>
        <w:t>2020/04/01閲覧</w:t>
      </w:r>
      <w:r w:rsidRPr="0028228E">
        <w:rPr>
          <w:rFonts w:asciiTheme="minorEastAsia" w:eastAsiaTheme="minorEastAsia" w:hAnsiTheme="minorEastAsia" w:cstheme="minorBidi"/>
          <w:color w:val="000000" w:themeColor="text1"/>
          <w:sz w:val="18"/>
          <w:szCs w:val="18"/>
        </w:rPr>
        <w:t>）</w:t>
      </w:r>
    </w:p>
    <w:p w:rsidR="00421DF0" w:rsidRPr="0028228E" w:rsidRDefault="00421DF0" w:rsidP="00421DF0">
      <w:pPr>
        <w:pStyle w:val="a5"/>
        <w:numPr>
          <w:ilvl w:val="0"/>
          <w:numId w:val="2"/>
        </w:numPr>
        <w:ind w:leftChars="0"/>
        <w:rPr>
          <w:rFonts w:asciiTheme="minorEastAsia" w:eastAsiaTheme="minorEastAsia" w:hAnsiTheme="minorEastAsia" w:cstheme="minorBidi"/>
          <w:color w:val="000000" w:themeColor="text1"/>
          <w:sz w:val="18"/>
          <w:szCs w:val="18"/>
        </w:rPr>
      </w:pPr>
      <w:r w:rsidRPr="0028228E">
        <w:rPr>
          <w:rFonts w:asciiTheme="minorEastAsia" w:eastAsiaTheme="minorEastAsia" w:hAnsiTheme="minorEastAsia" w:cstheme="minorBidi"/>
          <w:color w:val="000000" w:themeColor="text1"/>
          <w:sz w:val="18"/>
          <w:szCs w:val="18"/>
        </w:rPr>
        <w:t>厚生労働省.“死因順位（１～５位）別死亡数・死亡率（人口10万対）”, 2018.</w:t>
      </w:r>
      <w:r w:rsidRPr="0028228E">
        <w:rPr>
          <w:rFonts w:asciiTheme="minorEastAsia" w:eastAsiaTheme="minorEastAsia" w:hAnsiTheme="minorEastAsia" w:cstheme="minorBidi"/>
          <w:color w:val="000000" w:themeColor="text1"/>
          <w:sz w:val="18"/>
          <w:szCs w:val="18"/>
        </w:rPr>
        <w:br/>
        <w:t>https://www.mhlw.go.jp/toukei/saikin/hw/jinkou/geppo/nengai18/dl/gaikyou30.pdf（</w:t>
      </w:r>
      <w:r w:rsidRPr="0028228E">
        <w:rPr>
          <w:rFonts w:asciiTheme="minorEastAsia" w:eastAsiaTheme="minorEastAsia" w:hAnsiTheme="minorEastAsia" w:cs="Century"/>
          <w:color w:val="000000" w:themeColor="text1"/>
          <w:sz w:val="18"/>
          <w:szCs w:val="18"/>
        </w:rPr>
        <w:t>2020/04/01閲覧</w:t>
      </w:r>
      <w:r w:rsidRPr="0028228E">
        <w:rPr>
          <w:rFonts w:asciiTheme="minorEastAsia" w:eastAsiaTheme="minorEastAsia" w:hAnsiTheme="minorEastAsia" w:cstheme="minorBidi"/>
          <w:color w:val="000000" w:themeColor="text1"/>
          <w:sz w:val="18"/>
          <w:szCs w:val="18"/>
        </w:rPr>
        <w:t>）</w:t>
      </w:r>
    </w:p>
    <w:p w:rsidR="00421DF0" w:rsidRPr="0028228E" w:rsidRDefault="00421DF0" w:rsidP="00421DF0">
      <w:pPr>
        <w:pStyle w:val="a5"/>
        <w:numPr>
          <w:ilvl w:val="0"/>
          <w:numId w:val="2"/>
        </w:numPr>
        <w:ind w:leftChars="0"/>
        <w:rPr>
          <w:rFonts w:asciiTheme="minorEastAsia" w:eastAsiaTheme="minorEastAsia" w:hAnsiTheme="minorEastAsia" w:cstheme="minorBidi"/>
          <w:color w:val="000000" w:themeColor="text1"/>
          <w:sz w:val="18"/>
          <w:szCs w:val="18"/>
        </w:rPr>
      </w:pPr>
      <w:r w:rsidRPr="0028228E">
        <w:rPr>
          <w:rFonts w:asciiTheme="minorEastAsia" w:eastAsiaTheme="minorEastAsia" w:hAnsiTheme="minorEastAsia" w:cs="ＭＳ 明朝"/>
          <w:color w:val="000000" w:themeColor="text1"/>
          <w:sz w:val="18"/>
          <w:szCs w:val="18"/>
        </w:rPr>
        <w:t>内田千代子. “21年間の調査から見た大学生の字雑の特徴と危険因子 −予防への手掛かりを探る−”,精神神経学雑誌, 第</w:t>
      </w:r>
      <w:r w:rsidRPr="0028228E">
        <w:rPr>
          <w:rFonts w:asciiTheme="minorEastAsia" w:eastAsiaTheme="minorEastAsia" w:hAnsiTheme="minorEastAsia" w:cs="Century"/>
          <w:color w:val="000000" w:themeColor="text1"/>
          <w:sz w:val="18"/>
          <w:szCs w:val="18"/>
        </w:rPr>
        <w:t>112</w:t>
      </w:r>
      <w:r w:rsidRPr="0028228E">
        <w:rPr>
          <w:rFonts w:asciiTheme="minorEastAsia" w:eastAsiaTheme="minorEastAsia" w:hAnsiTheme="minorEastAsia" w:cs="ＭＳ 明朝"/>
          <w:color w:val="000000" w:themeColor="text1"/>
          <w:sz w:val="18"/>
          <w:szCs w:val="18"/>
        </w:rPr>
        <w:t>巻, 第６号, 2010.</w:t>
      </w:r>
    </w:p>
    <w:p w:rsidR="00421DF0" w:rsidRPr="0028228E" w:rsidRDefault="00421DF0" w:rsidP="00421DF0">
      <w:pPr>
        <w:pStyle w:val="a5"/>
        <w:numPr>
          <w:ilvl w:val="0"/>
          <w:numId w:val="2"/>
        </w:numPr>
        <w:ind w:leftChars="0"/>
        <w:rPr>
          <w:rStyle w:val="a4"/>
          <w:rFonts w:asciiTheme="minorEastAsia" w:eastAsiaTheme="minorEastAsia" w:hAnsiTheme="minorEastAsia" w:cstheme="minorBidi"/>
          <w:sz w:val="18"/>
          <w:szCs w:val="18"/>
          <w:u w:val="none"/>
        </w:rPr>
      </w:pPr>
      <w:r w:rsidRPr="0028228E">
        <w:rPr>
          <w:rFonts w:asciiTheme="minorEastAsia" w:eastAsiaTheme="minorEastAsia" w:hAnsiTheme="minorEastAsia" w:cstheme="minorBidi" w:hint="eastAsia"/>
          <w:color w:val="000000" w:themeColor="text1"/>
          <w:sz w:val="18"/>
          <w:szCs w:val="18"/>
        </w:rPr>
        <w:t>厚生労働省</w:t>
      </w:r>
      <w:r w:rsidRPr="0028228E">
        <w:rPr>
          <w:rFonts w:asciiTheme="minorEastAsia" w:eastAsiaTheme="minorEastAsia" w:hAnsiTheme="minorEastAsia" w:cstheme="minorBidi"/>
          <w:color w:val="000000" w:themeColor="text1"/>
          <w:sz w:val="18"/>
          <w:szCs w:val="18"/>
        </w:rPr>
        <w:t>.“</w:t>
      </w:r>
      <w:r w:rsidRPr="0028228E">
        <w:rPr>
          <w:rFonts w:asciiTheme="minorEastAsia" w:eastAsiaTheme="minorEastAsia" w:hAnsiTheme="minorEastAsia" w:cstheme="minorBidi" w:hint="eastAsia"/>
          <w:color w:val="000000" w:themeColor="text1"/>
          <w:sz w:val="18"/>
          <w:szCs w:val="18"/>
        </w:rPr>
        <w:t>死因順位（１～５位）別死亡数・死亡率（人口10万対）</w:t>
      </w:r>
      <w:r w:rsidRPr="0028228E">
        <w:rPr>
          <w:rFonts w:asciiTheme="minorEastAsia" w:eastAsiaTheme="minorEastAsia" w:hAnsiTheme="minorEastAsia" w:cstheme="minorBidi"/>
          <w:color w:val="000000" w:themeColor="text1"/>
          <w:sz w:val="18"/>
          <w:szCs w:val="18"/>
        </w:rPr>
        <w:t>”</w:t>
      </w:r>
      <w:r w:rsidRPr="0028228E">
        <w:rPr>
          <w:rFonts w:asciiTheme="minorEastAsia" w:eastAsiaTheme="minorEastAsia" w:hAnsiTheme="minorEastAsia" w:cstheme="minorBidi" w:hint="eastAsia"/>
          <w:color w:val="000000" w:themeColor="text1"/>
          <w:sz w:val="18"/>
          <w:szCs w:val="18"/>
        </w:rPr>
        <w:t>,</w:t>
      </w:r>
      <w:r w:rsidRPr="0028228E">
        <w:rPr>
          <w:rFonts w:asciiTheme="minorEastAsia" w:eastAsiaTheme="minorEastAsia" w:hAnsiTheme="minorEastAsia" w:cstheme="minorBidi"/>
          <w:color w:val="000000" w:themeColor="text1"/>
          <w:sz w:val="18"/>
          <w:szCs w:val="18"/>
        </w:rPr>
        <w:t xml:space="preserve"> 2018.</w:t>
      </w:r>
      <w:r w:rsidRPr="0028228E">
        <w:rPr>
          <w:rFonts w:asciiTheme="minorEastAsia" w:eastAsiaTheme="minorEastAsia" w:hAnsiTheme="minorEastAsia" w:cstheme="minorBidi"/>
          <w:color w:val="000000" w:themeColor="text1"/>
          <w:sz w:val="18"/>
          <w:szCs w:val="18"/>
        </w:rPr>
        <w:br/>
        <w:t>https://www.mhlw.go.jp/content/H30kakutei-f02.pdf（</w:t>
      </w:r>
      <w:r w:rsidRPr="0028228E">
        <w:rPr>
          <w:rFonts w:asciiTheme="minorEastAsia" w:eastAsiaTheme="minorEastAsia" w:hAnsiTheme="minorEastAsia" w:cs="Century"/>
          <w:sz w:val="18"/>
          <w:szCs w:val="18"/>
        </w:rPr>
        <w:t>2020/04/01閲覧</w:t>
      </w:r>
      <w:r w:rsidRPr="0028228E">
        <w:rPr>
          <w:rFonts w:asciiTheme="minorEastAsia" w:eastAsiaTheme="minorEastAsia" w:hAnsiTheme="minorEastAsia" w:cstheme="minorBidi"/>
          <w:sz w:val="18"/>
          <w:szCs w:val="18"/>
        </w:rPr>
        <w:t>）</w:t>
      </w:r>
    </w:p>
    <w:p w:rsidR="0021169C" w:rsidRPr="00AF4CB7" w:rsidRDefault="00421DF0" w:rsidP="00421DF0">
      <w:pPr>
        <w:pStyle w:val="a5"/>
        <w:numPr>
          <w:ilvl w:val="0"/>
          <w:numId w:val="2"/>
        </w:numPr>
        <w:ind w:leftChars="0"/>
        <w:rPr>
          <w:rFonts w:asciiTheme="minorEastAsia" w:eastAsiaTheme="minorEastAsia" w:hAnsiTheme="minorEastAsia" w:cstheme="minorBidi"/>
          <w:sz w:val="18"/>
          <w:szCs w:val="18"/>
        </w:rPr>
      </w:pPr>
      <w:r w:rsidRPr="0028228E">
        <w:rPr>
          <w:rFonts w:asciiTheme="minorEastAsia" w:eastAsiaTheme="minorEastAsia" w:hAnsiTheme="minorEastAsia" w:cstheme="minorBidi" w:hint="eastAsia"/>
          <w:sz w:val="18"/>
          <w:szCs w:val="18"/>
        </w:rPr>
        <w:t>市瀬晶子</w:t>
      </w:r>
      <w:r w:rsidRPr="0028228E">
        <w:rPr>
          <w:rFonts w:asciiTheme="minorEastAsia" w:eastAsiaTheme="minorEastAsia" w:hAnsiTheme="minorEastAsia" w:cstheme="minorBidi"/>
          <w:sz w:val="18"/>
          <w:szCs w:val="18"/>
        </w:rPr>
        <w:t xml:space="preserve">, </w:t>
      </w:r>
      <w:r w:rsidRPr="0028228E">
        <w:rPr>
          <w:rFonts w:asciiTheme="minorEastAsia" w:eastAsiaTheme="minorEastAsia" w:hAnsiTheme="minorEastAsia" w:cstheme="minorBidi" w:hint="eastAsia"/>
          <w:sz w:val="18"/>
          <w:szCs w:val="18"/>
        </w:rPr>
        <w:t>引土絵未</w:t>
      </w:r>
      <w:r w:rsidRPr="0028228E">
        <w:rPr>
          <w:rFonts w:asciiTheme="minorEastAsia" w:eastAsiaTheme="minorEastAsia" w:hAnsiTheme="minorEastAsia" w:cstheme="minorBidi"/>
          <w:sz w:val="18"/>
          <w:szCs w:val="18"/>
        </w:rPr>
        <w:t xml:space="preserve">, </w:t>
      </w:r>
      <w:r w:rsidRPr="0028228E">
        <w:rPr>
          <w:rFonts w:asciiTheme="minorEastAsia" w:eastAsiaTheme="minorEastAsia" w:hAnsiTheme="minorEastAsia" w:cstheme="minorBidi" w:hint="eastAsia"/>
          <w:sz w:val="18"/>
          <w:szCs w:val="18"/>
        </w:rPr>
        <w:t>李善惠</w:t>
      </w:r>
      <w:r w:rsidRPr="0028228E">
        <w:rPr>
          <w:rFonts w:asciiTheme="minorEastAsia" w:eastAsiaTheme="minorEastAsia" w:hAnsiTheme="minorEastAsia" w:cstheme="minorBidi"/>
          <w:sz w:val="18"/>
          <w:szCs w:val="18"/>
        </w:rPr>
        <w:t xml:space="preserve">, </w:t>
      </w:r>
      <w:r w:rsidRPr="0028228E">
        <w:rPr>
          <w:rFonts w:asciiTheme="minorEastAsia" w:eastAsiaTheme="minorEastAsia" w:hAnsiTheme="minorEastAsia" w:cstheme="minorBidi" w:hint="eastAsia"/>
          <w:sz w:val="18"/>
          <w:szCs w:val="18"/>
        </w:rPr>
        <w:t>大倉高志</w:t>
      </w:r>
      <w:r w:rsidRPr="0028228E">
        <w:rPr>
          <w:rFonts w:asciiTheme="minorEastAsia" w:eastAsiaTheme="minorEastAsia" w:hAnsiTheme="minorEastAsia" w:cstheme="minorBidi"/>
          <w:sz w:val="18"/>
          <w:szCs w:val="18"/>
        </w:rPr>
        <w:t xml:space="preserve">, </w:t>
      </w:r>
      <w:r w:rsidRPr="0028228E">
        <w:rPr>
          <w:rFonts w:asciiTheme="minorEastAsia" w:eastAsiaTheme="minorEastAsia" w:hAnsiTheme="minorEastAsia" w:cstheme="minorBidi" w:hint="eastAsia"/>
          <w:sz w:val="18"/>
          <w:szCs w:val="18"/>
        </w:rPr>
        <w:t>山村</w:t>
      </w:r>
      <w:proofErr w:type="gramStart"/>
      <w:r w:rsidRPr="0028228E">
        <w:rPr>
          <w:rFonts w:asciiTheme="minorEastAsia" w:eastAsiaTheme="minorEastAsia" w:hAnsiTheme="minorEastAsia" w:cstheme="minorBidi" w:hint="eastAsia"/>
          <w:sz w:val="18"/>
          <w:szCs w:val="18"/>
        </w:rPr>
        <w:t>りつ</w:t>
      </w:r>
      <w:proofErr w:type="gramEnd"/>
      <w:r w:rsidRPr="0028228E">
        <w:rPr>
          <w:rFonts w:asciiTheme="minorEastAsia" w:eastAsiaTheme="minorEastAsia" w:hAnsiTheme="minorEastAsia" w:cstheme="minorBidi"/>
          <w:sz w:val="18"/>
          <w:szCs w:val="18"/>
        </w:rPr>
        <w:t xml:space="preserve">, </w:t>
      </w:r>
      <w:r w:rsidRPr="0028228E">
        <w:rPr>
          <w:rFonts w:asciiTheme="minorEastAsia" w:eastAsiaTheme="minorEastAsia" w:hAnsiTheme="minorEastAsia" w:cstheme="minorBidi" w:hint="eastAsia"/>
          <w:sz w:val="18"/>
          <w:szCs w:val="18"/>
        </w:rPr>
        <w:t>全海元</w:t>
      </w:r>
      <w:r w:rsidRPr="0028228E">
        <w:rPr>
          <w:rFonts w:asciiTheme="minorEastAsia" w:eastAsiaTheme="minorEastAsia" w:hAnsiTheme="minorEastAsia" w:cstheme="minorBidi"/>
          <w:sz w:val="18"/>
          <w:szCs w:val="18"/>
        </w:rPr>
        <w:t xml:space="preserve">, </w:t>
      </w:r>
      <w:r w:rsidRPr="0028228E">
        <w:rPr>
          <w:rFonts w:asciiTheme="minorEastAsia" w:eastAsiaTheme="minorEastAsia" w:hAnsiTheme="minorEastAsia" w:cstheme="minorBidi" w:hint="eastAsia"/>
          <w:sz w:val="18"/>
          <w:szCs w:val="18"/>
        </w:rPr>
        <w:t>高仙喜</w:t>
      </w:r>
      <w:r w:rsidRPr="0028228E">
        <w:rPr>
          <w:rFonts w:asciiTheme="minorEastAsia" w:eastAsiaTheme="minorEastAsia" w:hAnsiTheme="minorEastAsia" w:cstheme="minorBidi"/>
          <w:sz w:val="18"/>
          <w:szCs w:val="18"/>
        </w:rPr>
        <w:t xml:space="preserve">, </w:t>
      </w:r>
      <w:r w:rsidRPr="0028228E">
        <w:rPr>
          <w:rFonts w:asciiTheme="minorEastAsia" w:eastAsiaTheme="minorEastAsia" w:hAnsiTheme="minorEastAsia" w:cstheme="minorBidi" w:hint="eastAsia"/>
          <w:sz w:val="18"/>
          <w:szCs w:val="18"/>
        </w:rPr>
        <w:t>倉西宏</w:t>
      </w:r>
      <w:r w:rsidRPr="001D0787">
        <w:rPr>
          <w:rFonts w:asciiTheme="minorEastAsia" w:eastAsiaTheme="minorEastAsia" w:hAnsiTheme="minorEastAsia" w:cstheme="minorBidi"/>
          <w:sz w:val="18"/>
          <w:szCs w:val="18"/>
        </w:rPr>
        <w:t xml:space="preserve">, </w:t>
      </w:r>
      <w:r w:rsidRPr="001D0787">
        <w:rPr>
          <w:rFonts w:asciiTheme="minorEastAsia" w:eastAsiaTheme="minorEastAsia" w:hAnsiTheme="minorEastAsia" w:cstheme="minorBidi" w:hint="eastAsia"/>
          <w:sz w:val="18"/>
          <w:szCs w:val="18"/>
        </w:rPr>
        <w:t>尾角光美</w:t>
      </w:r>
      <w:r w:rsidRPr="001D0787">
        <w:rPr>
          <w:rFonts w:asciiTheme="minorEastAsia" w:eastAsiaTheme="minorEastAsia" w:hAnsiTheme="minorEastAsia" w:cstheme="minorBidi"/>
          <w:sz w:val="18"/>
          <w:szCs w:val="18"/>
        </w:rPr>
        <w:t xml:space="preserve">, </w:t>
      </w:r>
      <w:r w:rsidRPr="001D0787">
        <w:rPr>
          <w:rFonts w:asciiTheme="minorEastAsia" w:eastAsiaTheme="minorEastAsia" w:hAnsiTheme="minorEastAsia" w:cstheme="minorBidi" w:hint="eastAsia"/>
          <w:sz w:val="18"/>
          <w:szCs w:val="18"/>
        </w:rPr>
        <w:t>木原活信</w:t>
      </w:r>
      <w:r w:rsidRPr="001D0787">
        <w:rPr>
          <w:rFonts w:asciiTheme="minorEastAsia" w:eastAsiaTheme="minorEastAsia" w:hAnsiTheme="minorEastAsia" w:cstheme="minorBidi"/>
          <w:sz w:val="18"/>
          <w:szCs w:val="18"/>
        </w:rPr>
        <w:t>.“</w:t>
      </w:r>
      <w:r w:rsidRPr="001D0787">
        <w:rPr>
          <w:rFonts w:asciiTheme="minorEastAsia" w:eastAsiaTheme="minorEastAsia" w:hAnsiTheme="minorEastAsia" w:cstheme="minorBidi" w:hint="eastAsia"/>
          <w:sz w:val="18"/>
          <w:szCs w:val="18"/>
        </w:rPr>
        <w:t>大学生の自殺予防教育プログラムに向けた「悩みとその対処方法」に関する調査 : 相談することへの抵抗感に着目して</w:t>
      </w:r>
      <w:r w:rsidRPr="001D0787">
        <w:rPr>
          <w:rFonts w:asciiTheme="minorEastAsia" w:eastAsiaTheme="minorEastAsia" w:hAnsiTheme="minorEastAsia" w:cstheme="minorBidi"/>
          <w:sz w:val="18"/>
          <w:szCs w:val="18"/>
        </w:rPr>
        <w:t xml:space="preserve">”, </w:t>
      </w:r>
      <w:r w:rsidRPr="001D0787">
        <w:rPr>
          <w:rFonts w:asciiTheme="minorEastAsia" w:eastAsiaTheme="minorEastAsia" w:hAnsiTheme="minorEastAsia" w:cstheme="minorBidi" w:hint="eastAsia"/>
          <w:sz w:val="18"/>
          <w:szCs w:val="18"/>
        </w:rPr>
        <w:t>人間福祉学研究</w:t>
      </w:r>
      <w:r w:rsidRPr="001D0787">
        <w:rPr>
          <w:rFonts w:asciiTheme="minorEastAsia" w:eastAsiaTheme="minorEastAsia" w:hAnsiTheme="minorEastAsia" w:cstheme="minorBidi"/>
          <w:sz w:val="18"/>
          <w:szCs w:val="18"/>
        </w:rPr>
        <w:t xml:space="preserve">, </w:t>
      </w:r>
      <w:r w:rsidRPr="001D0787">
        <w:rPr>
          <w:rFonts w:asciiTheme="minorEastAsia" w:eastAsiaTheme="minorEastAsia" w:hAnsiTheme="minorEastAsia" w:cstheme="minorBidi" w:hint="eastAsia"/>
          <w:sz w:val="18"/>
          <w:szCs w:val="18"/>
        </w:rPr>
        <w:t>第７巻</w:t>
      </w:r>
      <w:r w:rsidRPr="001D0787">
        <w:rPr>
          <w:rFonts w:asciiTheme="minorEastAsia" w:eastAsiaTheme="minorEastAsia" w:hAnsiTheme="minorEastAsia" w:cstheme="minorBidi"/>
          <w:sz w:val="18"/>
          <w:szCs w:val="18"/>
        </w:rPr>
        <w:t xml:space="preserve">, </w:t>
      </w:r>
      <w:r w:rsidRPr="001D0787">
        <w:rPr>
          <w:rFonts w:asciiTheme="minorEastAsia" w:eastAsiaTheme="minorEastAsia" w:hAnsiTheme="minorEastAsia" w:cstheme="minorBidi" w:hint="eastAsia"/>
          <w:sz w:val="18"/>
          <w:szCs w:val="18"/>
        </w:rPr>
        <w:t>第１号</w:t>
      </w:r>
      <w:r w:rsidRPr="001D0787">
        <w:rPr>
          <w:rFonts w:asciiTheme="minorEastAsia" w:eastAsiaTheme="minorEastAsia" w:hAnsiTheme="minorEastAsia" w:cstheme="minorBidi"/>
          <w:sz w:val="18"/>
          <w:szCs w:val="18"/>
        </w:rPr>
        <w:t xml:space="preserve">, 2014. </w:t>
      </w:r>
    </w:p>
    <w:sectPr w:rsidR="0021169C" w:rsidRPr="00AF4CB7" w:rsidSect="0040228F">
      <w:endnotePr>
        <w:numFmt w:val="decimal"/>
      </w:endnotePr>
      <w:type w:val="continuous"/>
      <w:pgSz w:w="11906" w:h="16838"/>
      <w:pgMar w:top="1701" w:right="1418" w:bottom="1701" w:left="1418" w:header="851" w:footer="992" w:gutter="0"/>
      <w:cols w:num="2" w:space="200"/>
      <w:docGrid w:linePitch="360" w:charSpace="467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36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69C45F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6706EA1"/>
    <w:multiLevelType w:val="hybridMultilevel"/>
    <w:tmpl w:val="A156F3C2"/>
    <w:lvl w:ilvl="0" w:tplc="E488BFF2">
      <w:start w:val="1"/>
      <w:numFmt w:val="decimal"/>
      <w:lvlText w:val="[%1]"/>
      <w:lvlJc w:val="left"/>
      <w:pPr>
        <w:ind w:left="420" w:hanging="420"/>
      </w:pPr>
      <w:rPr>
        <w:rFonts w:hint="eastAsia"/>
        <w:color w:val="000000" w:themeColor="text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E0E2B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bordersDoNotSurroundHeader/>
  <w:bordersDoNotSurroundFooter/>
  <w:proofState w:spelling="clean" w:grammar="clean"/>
  <w:defaultTabStop w:val="840"/>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F0"/>
    <w:rsid w:val="000B217C"/>
    <w:rsid w:val="0021169C"/>
    <w:rsid w:val="0028228E"/>
    <w:rsid w:val="002E4A91"/>
    <w:rsid w:val="003B53C3"/>
    <w:rsid w:val="00421DF0"/>
    <w:rsid w:val="007D4154"/>
    <w:rsid w:val="008757E4"/>
    <w:rsid w:val="00AF4CB7"/>
    <w:rsid w:val="00D97E3A"/>
    <w:rsid w:val="00E04258"/>
    <w:rsid w:val="00F350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E3200DC-9E7B-9147-8149-6074C742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1DF0"/>
    <w:pPr>
      <w:widowControl w:val="0"/>
      <w:jc w:val="both"/>
    </w:pPr>
    <w:rPr>
      <w:rFonts w:ascii="Times New Roman" w:eastAsia="ＭＳ Ｐ明朝" w:hAnsi="Times New Roman" w:cs="Times New Roman"/>
      <w:sz w:val="19"/>
    </w:rPr>
  </w:style>
  <w:style w:type="paragraph" w:styleId="1">
    <w:name w:val="heading 1"/>
    <w:basedOn w:val="a"/>
    <w:next w:val="a"/>
    <w:link w:val="10"/>
    <w:qFormat/>
    <w:rsid w:val="00421DF0"/>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421DF0"/>
    <w:rPr>
      <w:rFonts w:asciiTheme="majorHAnsi" w:eastAsiaTheme="majorEastAsia" w:hAnsiTheme="majorHAnsi" w:cstheme="majorBidi"/>
      <w:sz w:val="24"/>
    </w:rPr>
  </w:style>
  <w:style w:type="paragraph" w:customStyle="1" w:styleId="a3">
    <w:name w:val="筆者所属"/>
    <w:basedOn w:val="a"/>
    <w:next w:val="a"/>
    <w:autoRedefine/>
    <w:rsid w:val="00421DF0"/>
    <w:pPr>
      <w:widowControl/>
      <w:tabs>
        <w:tab w:val="center" w:pos="3544"/>
        <w:tab w:val="center" w:pos="6521"/>
      </w:tabs>
      <w:adjustRightInd w:val="0"/>
      <w:spacing w:before="100"/>
      <w:jc w:val="center"/>
      <w:textAlignment w:val="baseline"/>
    </w:pPr>
    <w:rPr>
      <w:kern w:val="0"/>
      <w:sz w:val="21"/>
      <w:szCs w:val="21"/>
    </w:rPr>
  </w:style>
  <w:style w:type="character" w:styleId="a4">
    <w:name w:val="Hyperlink"/>
    <w:uiPriority w:val="99"/>
    <w:rsid w:val="00421DF0"/>
    <w:rPr>
      <w:color w:val="0000FF"/>
      <w:u w:val="single"/>
    </w:rPr>
  </w:style>
  <w:style w:type="paragraph" w:styleId="a5">
    <w:name w:val="List Paragraph"/>
    <w:basedOn w:val="a"/>
    <w:uiPriority w:val="34"/>
    <w:qFormat/>
    <w:rsid w:val="00421DF0"/>
    <w:pPr>
      <w:ind w:leftChars="400" w:left="840"/>
    </w:pPr>
  </w:style>
  <w:style w:type="character" w:customStyle="1" w:styleId="normaltextrun">
    <w:name w:val="normaltextrun"/>
    <w:basedOn w:val="a0"/>
    <w:rsid w:val="00421DF0"/>
  </w:style>
  <w:style w:type="character" w:styleId="a6">
    <w:name w:val="FollowedHyperlink"/>
    <w:basedOn w:val="a0"/>
    <w:uiPriority w:val="99"/>
    <w:semiHidden/>
    <w:unhideWhenUsed/>
    <w:rsid w:val="007D41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___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132074790513634E-2"/>
          <c:y val="0.10155985914751833"/>
          <c:w val="0.90286351706036749"/>
          <c:h val="0.75548419788090482"/>
        </c:manualLayout>
      </c:layout>
      <c:lineChart>
        <c:grouping val="standard"/>
        <c:varyColors val="0"/>
        <c:ser>
          <c:idx val="0"/>
          <c:order val="0"/>
          <c:tx>
            <c:strRef>
              <c:f>Sheet1!$B$1</c:f>
              <c:strCache>
                <c:ptCount val="1"/>
                <c:pt idx="0">
                  <c:v>男</c:v>
                </c:pt>
              </c:strCache>
            </c:strRef>
          </c:tx>
          <c:spPr>
            <a:ln w="28575" cap="rnd">
              <a:solidFill>
                <a:schemeClr val="tx1">
                  <a:lumMod val="65000"/>
                  <a:lumOff val="35000"/>
                </a:schemeClr>
              </a:solidFill>
              <a:round/>
            </a:ln>
            <a:effectLst/>
          </c:spPr>
          <c:marker>
            <c:symbol val="circle"/>
            <c:size val="6"/>
            <c:spPr>
              <a:solidFill>
                <a:schemeClr val="tx1">
                  <a:lumMod val="65000"/>
                  <a:lumOff val="35000"/>
                </a:schemeClr>
              </a:solidFill>
              <a:ln w="9525">
                <a:noFill/>
              </a:ln>
              <a:effectLst/>
            </c:spPr>
          </c:marker>
          <c:cat>
            <c:strRef>
              <c:f>Sheet1!$A$2:$A$6</c:f>
              <c:strCache>
                <c:ptCount val="5"/>
                <c:pt idx="0">
                  <c:v>平成26年</c:v>
                </c:pt>
                <c:pt idx="1">
                  <c:v>27年</c:v>
                </c:pt>
                <c:pt idx="2">
                  <c:v>28年</c:v>
                </c:pt>
                <c:pt idx="3">
                  <c:v>29年</c:v>
                </c:pt>
                <c:pt idx="4">
                  <c:v>30年</c:v>
                </c:pt>
              </c:strCache>
            </c:strRef>
          </c:cat>
          <c:val>
            <c:numRef>
              <c:f>Sheet1!$B$2:$B$6</c:f>
              <c:numCache>
                <c:formatCode>General</c:formatCode>
                <c:ptCount val="5"/>
                <c:pt idx="0">
                  <c:v>28.2</c:v>
                </c:pt>
                <c:pt idx="1">
                  <c:v>25.3</c:v>
                </c:pt>
                <c:pt idx="2">
                  <c:v>24.6</c:v>
                </c:pt>
                <c:pt idx="3">
                  <c:v>25.5</c:v>
                </c:pt>
                <c:pt idx="4">
                  <c:v>24.2</c:v>
                </c:pt>
              </c:numCache>
            </c:numRef>
          </c:val>
          <c:smooth val="0"/>
          <c:extLst>
            <c:ext xmlns:c16="http://schemas.microsoft.com/office/drawing/2014/chart" uri="{C3380CC4-5D6E-409C-BE32-E72D297353CC}">
              <c16:uniqueId val="{00000000-221B-8244-8548-9D0FDEB14BAC}"/>
            </c:ext>
          </c:extLst>
        </c:ser>
        <c:ser>
          <c:idx val="1"/>
          <c:order val="1"/>
          <c:tx>
            <c:strRef>
              <c:f>Sheet1!$C$1</c:f>
              <c:strCache>
                <c:ptCount val="1"/>
                <c:pt idx="0">
                  <c:v>女</c:v>
                </c:pt>
              </c:strCache>
            </c:strRef>
          </c:tx>
          <c:spPr>
            <a:ln w="28575" cap="rnd">
              <a:solidFill>
                <a:srgbClr val="C00000"/>
              </a:solidFill>
              <a:round/>
            </a:ln>
            <a:effectLst/>
          </c:spPr>
          <c:marker>
            <c:symbol val="circle"/>
            <c:size val="6"/>
            <c:spPr>
              <a:solidFill>
                <a:srgbClr val="C00000"/>
              </a:solidFill>
              <a:ln w="9525">
                <a:noFill/>
              </a:ln>
              <a:effectLst/>
            </c:spPr>
          </c:marker>
          <c:cat>
            <c:strRef>
              <c:f>Sheet1!$A$2:$A$6</c:f>
              <c:strCache>
                <c:ptCount val="5"/>
                <c:pt idx="0">
                  <c:v>平成26年</c:v>
                </c:pt>
                <c:pt idx="1">
                  <c:v>27年</c:v>
                </c:pt>
                <c:pt idx="2">
                  <c:v>28年</c:v>
                </c:pt>
                <c:pt idx="3">
                  <c:v>29年</c:v>
                </c:pt>
                <c:pt idx="4">
                  <c:v>30年</c:v>
                </c:pt>
              </c:strCache>
            </c:strRef>
          </c:cat>
          <c:val>
            <c:numRef>
              <c:f>Sheet1!$C$2:$C$6</c:f>
              <c:numCache>
                <c:formatCode>General</c:formatCode>
                <c:ptCount val="5"/>
                <c:pt idx="0">
                  <c:v>10.6</c:v>
                </c:pt>
                <c:pt idx="1">
                  <c:v>9.3000000000000007</c:v>
                </c:pt>
                <c:pt idx="2">
                  <c:v>8.9</c:v>
                </c:pt>
                <c:pt idx="3">
                  <c:v>9.8000000000000007</c:v>
                </c:pt>
                <c:pt idx="4">
                  <c:v>10.4</c:v>
                </c:pt>
              </c:numCache>
            </c:numRef>
          </c:val>
          <c:smooth val="0"/>
          <c:extLst>
            <c:ext xmlns:c16="http://schemas.microsoft.com/office/drawing/2014/chart" uri="{C3380CC4-5D6E-409C-BE32-E72D297353CC}">
              <c16:uniqueId val="{00000001-221B-8244-8548-9D0FDEB14BAC}"/>
            </c:ext>
          </c:extLst>
        </c:ser>
        <c:dLbls>
          <c:showLegendKey val="0"/>
          <c:showVal val="0"/>
          <c:showCatName val="0"/>
          <c:showSerName val="0"/>
          <c:showPercent val="0"/>
          <c:showBubbleSize val="0"/>
        </c:dLbls>
        <c:marker val="1"/>
        <c:smooth val="0"/>
        <c:axId val="232402944"/>
        <c:axId val="232404480"/>
      </c:lineChart>
      <c:catAx>
        <c:axId val="232402944"/>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ea"/>
                <a:ea typeface="+mj-ea"/>
                <a:cs typeface="+mn-cs"/>
              </a:defRPr>
            </a:pPr>
            <a:endParaRPr lang="ja-JP"/>
          </a:p>
        </c:txPr>
        <c:crossAx val="232404480"/>
        <c:crosses val="autoZero"/>
        <c:auto val="1"/>
        <c:lblAlgn val="ctr"/>
        <c:lblOffset val="100"/>
        <c:noMultiLvlLbl val="0"/>
      </c:catAx>
      <c:valAx>
        <c:axId val="232404480"/>
        <c:scaling>
          <c:orientation val="minMax"/>
        </c:scaling>
        <c:delete val="0"/>
        <c:axPos val="l"/>
        <c:majorGridlines>
          <c:spPr>
            <a:ln w="9525" cap="flat" cmpd="sng" algn="ctr">
              <a:solidFill>
                <a:schemeClr val="tx1">
                  <a:lumMod val="15000"/>
                  <a:lumOff val="85000"/>
                </a:schemeClr>
              </a:solidFill>
              <a:prstDash val="dash"/>
              <a:round/>
            </a:ln>
            <a:effectLst/>
          </c:spPr>
        </c:majorGridlines>
        <c:numFmt formatCode="General" sourceLinked="1"/>
        <c:majorTickMark val="none"/>
        <c:minorTickMark val="none"/>
        <c:tickLblPos val="nextTo"/>
        <c:spPr>
          <a:noFill/>
          <a:ln>
            <a:solidFill>
              <a:schemeClr val="tx1">
                <a:lumMod val="50000"/>
                <a:lumOff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ea"/>
                <a:ea typeface="+mj-ea"/>
                <a:cs typeface="+mn-cs"/>
              </a:defRPr>
            </a:pPr>
            <a:endParaRPr lang="ja-JP"/>
          </a:p>
        </c:txPr>
        <c:crossAx val="232402944"/>
        <c:crosses val="autoZero"/>
        <c:crossBetween val="between"/>
      </c:valAx>
      <c:spPr>
        <a:noFill/>
        <a:ln>
          <a:noFill/>
        </a:ln>
        <a:effectLst/>
      </c:spPr>
    </c:plotArea>
    <c:legend>
      <c:legendPos val="b"/>
      <c:layout>
        <c:manualLayout>
          <c:xMode val="edge"/>
          <c:yMode val="edge"/>
          <c:x val="0.64079081681054928"/>
          <c:y val="5.8428943374860831E-4"/>
          <c:w val="0.33422066217626412"/>
          <c:h val="8.359655568447989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j-ea"/>
              <a:ea typeface="+mj-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078101138320572"/>
          <c:y val="0.14176278048716365"/>
          <c:w val="0.86774216840501539"/>
          <c:h val="0.7459372974820716"/>
        </c:manualLayout>
      </c:layout>
      <c:barChart>
        <c:barDir val="col"/>
        <c:grouping val="clustered"/>
        <c:varyColors val="0"/>
        <c:ser>
          <c:idx val="0"/>
          <c:order val="0"/>
          <c:tx>
            <c:strRef>
              <c:f>Sheet1!$B$1</c:f>
              <c:strCache>
                <c:ptCount val="1"/>
                <c:pt idx="0">
                  <c:v>男</c:v>
                </c:pt>
              </c:strCache>
            </c:strRef>
          </c:tx>
          <c:spPr>
            <a:solidFill>
              <a:schemeClr val="tx1">
                <a:lumMod val="65000"/>
                <a:lumOff val="35000"/>
              </a:schemeClr>
            </a:solidFill>
            <a:ln>
              <a:noFill/>
            </a:ln>
            <a:effectLst/>
          </c:spPr>
          <c:invertIfNegative val="0"/>
          <c:cat>
            <c:strRef>
              <c:f>Sheet1!$A$2:$A$5</c:f>
              <c:strCache>
                <c:ptCount val="4"/>
                <c:pt idx="0">
                  <c:v>文</c:v>
                </c:pt>
                <c:pt idx="1">
                  <c:v>理</c:v>
                </c:pt>
                <c:pt idx="2">
                  <c:v>医</c:v>
                </c:pt>
                <c:pt idx="3">
                  <c:v>歯</c:v>
                </c:pt>
              </c:strCache>
            </c:strRef>
          </c:cat>
          <c:val>
            <c:numRef>
              <c:f>Sheet1!$B$2:$B$5</c:f>
              <c:numCache>
                <c:formatCode>General</c:formatCode>
                <c:ptCount val="4"/>
                <c:pt idx="0">
                  <c:v>17.2</c:v>
                </c:pt>
                <c:pt idx="1">
                  <c:v>14.1</c:v>
                </c:pt>
                <c:pt idx="2">
                  <c:v>21.3</c:v>
                </c:pt>
                <c:pt idx="3">
                  <c:v>23.6</c:v>
                </c:pt>
              </c:numCache>
            </c:numRef>
          </c:val>
          <c:extLst>
            <c:ext xmlns:c16="http://schemas.microsoft.com/office/drawing/2014/chart" uri="{C3380CC4-5D6E-409C-BE32-E72D297353CC}">
              <c16:uniqueId val="{00000000-5B34-DC4A-82B9-DB9E4CE56BDD}"/>
            </c:ext>
          </c:extLst>
        </c:ser>
        <c:ser>
          <c:idx val="1"/>
          <c:order val="1"/>
          <c:tx>
            <c:strRef>
              <c:f>Sheet1!$C$1</c:f>
              <c:strCache>
                <c:ptCount val="1"/>
                <c:pt idx="0">
                  <c:v>女</c:v>
                </c:pt>
              </c:strCache>
            </c:strRef>
          </c:tx>
          <c:spPr>
            <a:solidFill>
              <a:srgbClr val="C00000"/>
            </a:solidFill>
            <a:ln>
              <a:noFill/>
            </a:ln>
            <a:effectLst/>
          </c:spPr>
          <c:invertIfNegative val="0"/>
          <c:cat>
            <c:strRef>
              <c:f>Sheet1!$A$2:$A$5</c:f>
              <c:strCache>
                <c:ptCount val="4"/>
                <c:pt idx="0">
                  <c:v>文</c:v>
                </c:pt>
                <c:pt idx="1">
                  <c:v>理</c:v>
                </c:pt>
                <c:pt idx="2">
                  <c:v>医</c:v>
                </c:pt>
                <c:pt idx="3">
                  <c:v>歯</c:v>
                </c:pt>
              </c:strCache>
            </c:strRef>
          </c:cat>
          <c:val>
            <c:numRef>
              <c:f>Sheet1!$C$2:$C$5</c:f>
              <c:numCache>
                <c:formatCode>General</c:formatCode>
                <c:ptCount val="4"/>
                <c:pt idx="0">
                  <c:v>7.6</c:v>
                </c:pt>
                <c:pt idx="1">
                  <c:v>7.6</c:v>
                </c:pt>
                <c:pt idx="2">
                  <c:v>19.8</c:v>
                </c:pt>
                <c:pt idx="3">
                  <c:v>15.8</c:v>
                </c:pt>
              </c:numCache>
            </c:numRef>
          </c:val>
          <c:extLst>
            <c:ext xmlns:c16="http://schemas.microsoft.com/office/drawing/2014/chart" uri="{C3380CC4-5D6E-409C-BE32-E72D297353CC}">
              <c16:uniqueId val="{00000001-5B34-DC4A-82B9-DB9E4CE56BDD}"/>
            </c:ext>
          </c:extLst>
        </c:ser>
        <c:dLbls>
          <c:showLegendKey val="0"/>
          <c:showVal val="0"/>
          <c:showCatName val="0"/>
          <c:showSerName val="0"/>
          <c:showPercent val="0"/>
          <c:showBubbleSize val="0"/>
        </c:dLbls>
        <c:gapWidth val="100"/>
        <c:overlap val="-25"/>
        <c:axId val="687458688"/>
        <c:axId val="687382272"/>
      </c:barChart>
      <c:catAx>
        <c:axId val="687458688"/>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ea"/>
                <a:ea typeface="+mj-ea"/>
                <a:cs typeface="+mn-cs"/>
              </a:defRPr>
            </a:pPr>
            <a:endParaRPr lang="ja-JP"/>
          </a:p>
        </c:txPr>
        <c:crossAx val="687382272"/>
        <c:crosses val="autoZero"/>
        <c:auto val="1"/>
        <c:lblAlgn val="ctr"/>
        <c:lblOffset val="100"/>
        <c:noMultiLvlLbl val="0"/>
      </c:catAx>
      <c:valAx>
        <c:axId val="687382272"/>
        <c:scaling>
          <c:orientation val="minMax"/>
        </c:scaling>
        <c:delete val="0"/>
        <c:axPos val="l"/>
        <c:majorGridlines>
          <c:spPr>
            <a:ln w="9525" cap="flat" cmpd="sng" algn="ctr">
              <a:solidFill>
                <a:schemeClr val="tx1">
                  <a:lumMod val="15000"/>
                  <a:lumOff val="85000"/>
                </a:schemeClr>
              </a:solidFill>
              <a:prstDash val="dash"/>
              <a:round/>
            </a:ln>
            <a:effectLst/>
          </c:spPr>
        </c:majorGridlines>
        <c:numFmt formatCode="General" sourceLinked="1"/>
        <c:majorTickMark val="none"/>
        <c:minorTickMark val="none"/>
        <c:tickLblPos val="nextTo"/>
        <c:spPr>
          <a:noFill/>
          <a:ln>
            <a:solidFill>
              <a:schemeClr val="tx1">
                <a:lumMod val="50000"/>
                <a:lumOff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ea"/>
                <a:ea typeface="+mj-ea"/>
                <a:cs typeface="+mn-cs"/>
              </a:defRPr>
            </a:pPr>
            <a:endParaRPr lang="ja-JP"/>
          </a:p>
        </c:txPr>
        <c:crossAx val="687458688"/>
        <c:crosses val="autoZero"/>
        <c:crossBetween val="between"/>
      </c:valAx>
      <c:spPr>
        <a:noFill/>
        <a:ln>
          <a:noFill/>
        </a:ln>
        <a:effectLst/>
      </c:spPr>
    </c:plotArea>
    <c:legend>
      <c:legendPos val="b"/>
      <c:layout>
        <c:manualLayout>
          <c:xMode val="edge"/>
          <c:yMode val="edge"/>
          <c:x val="0.75456140540891814"/>
          <c:y val="2.6999855402048033E-2"/>
          <c:w val="0.20614541476675802"/>
          <c:h val="0.11156441838760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j-ea"/>
              <a:ea typeface="+mj-ea"/>
              <a:cs typeface="+mn-cs"/>
            </a:defRPr>
          </a:pPr>
          <a:endParaRPr lang="ja-JP"/>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ja-JP"/>
    </a:p>
  </c:txPr>
  <c:externalData r:id="rId3">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49158779141116"/>
          <c:y val="3.251895534962089E-2"/>
          <c:w val="0.80983903227083442"/>
          <c:h val="0.63350520701041402"/>
        </c:manualLayout>
      </c:layout>
      <c:barChart>
        <c:barDir val="col"/>
        <c:grouping val="clustered"/>
        <c:varyColors val="0"/>
        <c:ser>
          <c:idx val="0"/>
          <c:order val="0"/>
          <c:spPr>
            <a:solidFill>
              <a:schemeClr val="tx1">
                <a:lumMod val="65000"/>
                <a:lumOff val="35000"/>
              </a:schemeClr>
            </a:solidFill>
            <a:ln>
              <a:noFill/>
            </a:ln>
            <a:effectLst/>
          </c:spPr>
          <c:invertIfNegative val="0"/>
          <c:cat>
            <c:strRef>
              <c:f>Sheet1!$A$1:$A$7</c:f>
              <c:strCache>
                <c:ptCount val="7"/>
                <c:pt idx="0">
                  <c:v>家庭問題</c:v>
                </c:pt>
                <c:pt idx="1">
                  <c:v>健康問題</c:v>
                </c:pt>
                <c:pt idx="2">
                  <c:v>経済・生活問題</c:v>
                </c:pt>
                <c:pt idx="3">
                  <c:v>勤務問題</c:v>
                </c:pt>
                <c:pt idx="4">
                  <c:v>男女問題</c:v>
                </c:pt>
                <c:pt idx="5">
                  <c:v>学校問題</c:v>
                </c:pt>
                <c:pt idx="6">
                  <c:v>その他</c:v>
                </c:pt>
              </c:strCache>
            </c:strRef>
          </c:cat>
          <c:val>
            <c:numRef>
              <c:f>Sheet1!$B$1:$B$7</c:f>
              <c:numCache>
                <c:formatCode>General</c:formatCode>
                <c:ptCount val="7"/>
                <c:pt idx="0">
                  <c:v>35</c:v>
                </c:pt>
                <c:pt idx="1">
                  <c:v>79</c:v>
                </c:pt>
                <c:pt idx="2">
                  <c:v>25</c:v>
                </c:pt>
                <c:pt idx="3">
                  <c:v>1</c:v>
                </c:pt>
                <c:pt idx="4">
                  <c:v>20</c:v>
                </c:pt>
                <c:pt idx="5">
                  <c:v>145</c:v>
                </c:pt>
                <c:pt idx="6">
                  <c:v>19</c:v>
                </c:pt>
              </c:numCache>
            </c:numRef>
          </c:val>
          <c:extLst>
            <c:ext xmlns:c15="http://schemas.microsoft.com/office/drawing/2012/chart" uri="{02D57815-91ED-43cb-92C2-25804820EDAC}">
              <c15:filteredSeriesTitle>
                <c15:tx>
                  <c:strRef>
                    <c:extLst>
                      <c:ext uri="{02D57815-91ED-43cb-92C2-25804820EDAC}">
                        <c15:formulaRef>
                          <c15:sqref>Sheet1!$B$1:$B$0</c15:sqref>
                        </c15:formulaRef>
                      </c:ext>
                    </c:extLst>
                  </c:strRef>
                </c15:tx>
              </c15:filteredSeriesTitle>
            </c:ext>
            <c:ext xmlns:c16="http://schemas.microsoft.com/office/drawing/2014/chart" uri="{C3380CC4-5D6E-409C-BE32-E72D297353CC}">
              <c16:uniqueId val="{00000000-6014-E141-8ED4-18421276FC32}"/>
            </c:ext>
          </c:extLst>
        </c:ser>
        <c:dLbls>
          <c:showLegendKey val="0"/>
          <c:showVal val="0"/>
          <c:showCatName val="0"/>
          <c:showSerName val="0"/>
          <c:showPercent val="0"/>
          <c:showBubbleSize val="0"/>
        </c:dLbls>
        <c:gapWidth val="100"/>
        <c:axId val="1027088288"/>
        <c:axId val="1027089920"/>
      </c:barChart>
      <c:catAx>
        <c:axId val="1027088288"/>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j-ea"/>
                <a:ea typeface="+mj-ea"/>
                <a:cs typeface="+mn-cs"/>
              </a:defRPr>
            </a:pPr>
            <a:endParaRPr lang="ja-JP"/>
          </a:p>
        </c:txPr>
        <c:crossAx val="1027089920"/>
        <c:crosses val="autoZero"/>
        <c:auto val="1"/>
        <c:lblAlgn val="ctr"/>
        <c:lblOffset val="100"/>
        <c:noMultiLvlLbl val="0"/>
      </c:catAx>
      <c:valAx>
        <c:axId val="1027089920"/>
        <c:scaling>
          <c:orientation val="minMax"/>
        </c:scaling>
        <c:delete val="0"/>
        <c:axPos val="l"/>
        <c:majorGridlines>
          <c:spPr>
            <a:ln w="9525" cap="flat" cmpd="sng" algn="ctr">
              <a:solidFill>
                <a:schemeClr val="tx1">
                  <a:lumMod val="15000"/>
                  <a:lumOff val="85000"/>
                </a:schemeClr>
              </a:solidFill>
              <a:prstDash val="dash"/>
              <a:round/>
            </a:ln>
            <a:effectLst/>
          </c:spPr>
        </c:majorGridlines>
        <c:numFmt formatCode="General" sourceLinked="1"/>
        <c:majorTickMark val="none"/>
        <c:minorTickMark val="none"/>
        <c:tickLblPos val="nextTo"/>
        <c:spPr>
          <a:noFill/>
          <a:ln>
            <a:solidFill>
              <a:schemeClr val="tx1">
                <a:lumMod val="50000"/>
                <a:lumOff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ea"/>
                <a:ea typeface="+mj-ea"/>
                <a:cs typeface="+mn-cs"/>
              </a:defRPr>
            </a:pPr>
            <a:endParaRPr lang="ja-JP"/>
          </a:p>
        </c:txPr>
        <c:crossAx val="102708828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456</Words>
  <Characters>2602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中島武三志</dc:creator>
  <cp:keywords/>
  <dc:description/>
  <cp:lastModifiedBy>中島武三志</cp:lastModifiedBy>
  <cp:revision>9</cp:revision>
  <dcterms:created xsi:type="dcterms:W3CDTF">2020-05-23T01:06:00Z</dcterms:created>
  <dcterms:modified xsi:type="dcterms:W3CDTF">2020-05-23T05:20:00Z</dcterms:modified>
</cp:coreProperties>
</file>