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69C" w:rsidRDefault="001A3C6C" w:rsidP="001A3C6C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020/04/01</w:t>
      </w:r>
    </w:p>
    <w:p w:rsidR="001A3C6C" w:rsidRDefault="001A3C6C" w:rsidP="001A3C6C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インタラクティブメディア学科</w:t>
      </w:r>
    </w:p>
    <w:p w:rsidR="001A3C6C" w:rsidRDefault="001A3C6C" w:rsidP="001A3C6C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024000</w:t>
      </w:r>
      <w:r>
        <w:rPr>
          <w:rFonts w:hint="eastAsia"/>
          <w:sz w:val="20"/>
          <w:szCs w:val="20"/>
        </w:rPr>
        <w:t xml:space="preserve">　工芸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太郎</w:t>
      </w:r>
    </w:p>
    <w:p w:rsidR="001A3C6C" w:rsidRDefault="001A3C6C" w:rsidP="001A3C6C">
      <w:pPr>
        <w:spacing w:beforeLines="50" w:before="180" w:afterLines="50" w:after="180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レポートのタイトル</w:t>
      </w:r>
    </w:p>
    <w:p w:rsidR="001A3C6C" w:rsidRPr="001A3C6C" w:rsidRDefault="001A3C6C" w:rsidP="001A3C6C">
      <w:pPr>
        <w:spacing w:beforeLines="50" w:before="180" w:afterLines="50" w:after="18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　レポートの概要、要約を記述。</w:t>
      </w:r>
    </w:p>
    <w:p w:rsidR="007B73F3" w:rsidRDefault="007B73F3" w:rsidP="001A3C6C">
      <w:pPr>
        <w:pStyle w:val="a5"/>
        <w:numPr>
          <w:ilvl w:val="0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4"/>
        </w:rPr>
        <w:sectPr w:rsidR="007B73F3" w:rsidSect="003B53C3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A3C6C" w:rsidRDefault="001A3C6C" w:rsidP="001A3C6C">
      <w:pPr>
        <w:pStyle w:val="a5"/>
        <w:numPr>
          <w:ilvl w:val="0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はじめに</w:t>
      </w:r>
    </w:p>
    <w:p w:rsidR="001A3C6C" w:rsidRPr="001A3C6C" w:rsidRDefault="001A3C6C" w:rsidP="001A3C6C">
      <w:pPr>
        <w:spacing w:beforeLines="50" w:before="180" w:afterLines="50" w:after="1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　社会問題が深刻になっている背景、注目されている経緯などを記述し、問題を提起する。その後、課題で指示したように現状を調査し、考察するという旨を記述する。</w:t>
      </w:r>
    </w:p>
    <w:p w:rsidR="00433988" w:rsidRDefault="001A3C6C" w:rsidP="00433988">
      <w:pPr>
        <w:pStyle w:val="a5"/>
        <w:numPr>
          <w:ilvl w:val="0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〇〇問題の現状</w:t>
      </w:r>
    </w:p>
    <w:p w:rsidR="00433988" w:rsidRPr="00433988" w:rsidRDefault="00433988" w:rsidP="00433988">
      <w:pPr>
        <w:spacing w:beforeLines="50" w:before="180" w:afterLines="50" w:after="1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　調査した文献のデータをグラフ化（次回実施）し、社会問題の現状を報告する。</w:t>
      </w:r>
    </w:p>
    <w:p w:rsidR="001A3C6C" w:rsidRDefault="001A3C6C" w:rsidP="001A3C6C">
      <w:pPr>
        <w:pStyle w:val="a5"/>
        <w:numPr>
          <w:ilvl w:val="1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2"/>
          <w:szCs w:val="22"/>
        </w:rPr>
      </w:pPr>
      <w:r w:rsidRPr="001A3C6C">
        <w:rPr>
          <w:rFonts w:asciiTheme="majorEastAsia" w:eastAsiaTheme="majorEastAsia" w:hAnsiTheme="majorEastAsia" w:hint="eastAsia"/>
          <w:sz w:val="22"/>
          <w:szCs w:val="22"/>
        </w:rPr>
        <w:t>節の見出し（省略しても良い）</w:t>
      </w:r>
    </w:p>
    <w:p w:rsidR="007B73F3" w:rsidRDefault="007B73F3" w:rsidP="007B73F3">
      <w:pPr>
        <w:spacing w:beforeLines="50" w:before="180" w:afterLines="50" w:after="180"/>
        <w:jc w:val="center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noProof/>
          <w:sz w:val="22"/>
          <w:szCs w:val="22"/>
        </w:rPr>
        <w:drawing>
          <wp:inline distT="0" distB="0" distL="0" distR="0">
            <wp:extent cx="2590800" cy="1727200"/>
            <wp:effectExtent l="0" t="0" r="0" b="0"/>
            <wp:docPr id="4" name="図 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3" w:rsidRPr="007B73F3" w:rsidRDefault="007B73F3" w:rsidP="007B73F3">
      <w:pPr>
        <w:spacing w:beforeLines="50" w:before="180" w:afterLines="50" w:after="180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図１</w:t>
      </w:r>
      <w:r>
        <w:rPr>
          <w:rFonts w:asciiTheme="majorEastAsia" w:eastAsiaTheme="majorEastAsia" w:hAnsiTheme="majorEastAsia"/>
          <w:sz w:val="20"/>
          <w:szCs w:val="20"/>
        </w:rPr>
        <w:t xml:space="preserve"> 20〜24</w:t>
      </w:r>
      <w:r>
        <w:rPr>
          <w:rFonts w:asciiTheme="majorEastAsia" w:eastAsiaTheme="majorEastAsia" w:hAnsiTheme="majorEastAsia" w:hint="eastAsia"/>
          <w:sz w:val="20"/>
          <w:szCs w:val="20"/>
        </w:rPr>
        <w:t>歳男女別自殺死亡率の推移</w:t>
      </w:r>
      <w:r>
        <w:rPr>
          <w:rFonts w:asciiTheme="majorEastAsia" w:eastAsiaTheme="majorEastAsia" w:hAnsiTheme="majorEastAsia"/>
          <w:sz w:val="20"/>
          <w:szCs w:val="20"/>
        </w:rPr>
        <w:br/>
      </w:r>
      <w:r>
        <w:rPr>
          <w:rFonts w:asciiTheme="majorEastAsia" w:eastAsiaTheme="majorEastAsia" w:hAnsiTheme="majorEastAsia" w:hint="eastAsia"/>
          <w:sz w:val="20"/>
          <w:szCs w:val="20"/>
        </w:rPr>
        <w:t>（人口</w:t>
      </w:r>
      <w:r>
        <w:rPr>
          <w:rFonts w:asciiTheme="majorEastAsia" w:eastAsiaTheme="majorEastAsia" w:hAnsiTheme="majorEastAsia"/>
          <w:sz w:val="20"/>
          <w:szCs w:val="20"/>
        </w:rPr>
        <w:t>10</w:t>
      </w:r>
      <w:r>
        <w:rPr>
          <w:rFonts w:asciiTheme="majorEastAsia" w:eastAsiaTheme="majorEastAsia" w:hAnsiTheme="majorEastAsia" w:hint="eastAsia"/>
          <w:sz w:val="20"/>
          <w:szCs w:val="20"/>
        </w:rPr>
        <w:t>万人対）</w:t>
      </w:r>
    </w:p>
    <w:p w:rsidR="001A3C6C" w:rsidRPr="001A3C6C" w:rsidRDefault="001A3C6C" w:rsidP="001A3C6C">
      <w:pPr>
        <w:pStyle w:val="a5"/>
        <w:numPr>
          <w:ilvl w:val="1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2"/>
          <w:szCs w:val="22"/>
        </w:rPr>
      </w:pPr>
      <w:r w:rsidRPr="001A3C6C">
        <w:rPr>
          <w:rFonts w:asciiTheme="majorEastAsia" w:eastAsiaTheme="majorEastAsia" w:hAnsiTheme="majorEastAsia" w:hint="eastAsia"/>
          <w:sz w:val="22"/>
          <w:szCs w:val="22"/>
        </w:rPr>
        <w:t>節の見出し（省略しても良い）</w:t>
      </w:r>
    </w:p>
    <w:p w:rsidR="001A3C6C" w:rsidRDefault="001A3C6C" w:rsidP="001A3C6C">
      <w:pPr>
        <w:pStyle w:val="a5"/>
        <w:numPr>
          <w:ilvl w:val="0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考察</w:t>
      </w:r>
    </w:p>
    <w:p w:rsidR="00433988" w:rsidRPr="00433988" w:rsidRDefault="00433988" w:rsidP="00433988">
      <w:pPr>
        <w:spacing w:beforeLines="50" w:before="180" w:afterLines="50" w:after="18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　調査した社会問題の現状を踏まえ、その原因や今後の課題について論じる。</w:t>
      </w:r>
    </w:p>
    <w:p w:rsidR="001A3C6C" w:rsidRDefault="001A3C6C" w:rsidP="001A3C6C">
      <w:pPr>
        <w:pStyle w:val="a5"/>
        <w:numPr>
          <w:ilvl w:val="0"/>
          <w:numId w:val="1"/>
        </w:numPr>
        <w:spacing w:beforeLines="50" w:before="180" w:afterLines="50" w:after="180"/>
        <w:ind w:leftChars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おわりに</w:t>
      </w:r>
    </w:p>
    <w:p w:rsidR="00433988" w:rsidRDefault="00433988" w:rsidP="00433988">
      <w:pPr>
        <w:spacing w:beforeLines="50" w:before="180" w:afterLines="50" w:after="18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　レポート全体を振り返り、要約を記述する。</w:t>
      </w:r>
    </w:p>
    <w:p w:rsidR="00433988" w:rsidRDefault="00433988" w:rsidP="00433988">
      <w:pPr>
        <w:spacing w:beforeLines="50" w:before="180" w:afterLines="50" w:after="180"/>
        <w:jc w:val="left"/>
        <w:rPr>
          <w:rFonts w:asciiTheme="majorEastAsia" w:eastAsiaTheme="majorEastAsia" w:hAnsiTheme="majorEastAsia"/>
          <w:b/>
          <w:bCs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bCs/>
          <w:sz w:val="22"/>
          <w:szCs w:val="22"/>
        </w:rPr>
        <w:t>参考文献</w:t>
      </w:r>
    </w:p>
    <w:p w:rsidR="00433988" w:rsidRDefault="00433988" w:rsidP="007B73F3">
      <w:pPr>
        <w:pStyle w:val="a5"/>
        <w:numPr>
          <w:ilvl w:val="0"/>
          <w:numId w:val="2"/>
        </w:numPr>
        <w:snapToGrid w:val="0"/>
        <w:ind w:leftChars="0"/>
        <w:rPr>
          <w:rFonts w:asciiTheme="minorEastAsia" w:hAnsiTheme="minorEastAsia"/>
          <w:sz w:val="18"/>
          <w:szCs w:val="18"/>
        </w:rPr>
      </w:pPr>
      <w:r w:rsidRPr="00433988">
        <w:rPr>
          <w:rFonts w:asciiTheme="minorEastAsia" w:hAnsiTheme="minorEastAsia" w:hint="eastAsia"/>
          <w:sz w:val="18"/>
          <w:szCs w:val="18"/>
        </w:rPr>
        <w:t>内田千代子</w:t>
      </w:r>
      <w:r>
        <w:rPr>
          <w:rFonts w:asciiTheme="minorEastAsia" w:hAnsiTheme="minorEastAsia"/>
          <w:sz w:val="18"/>
          <w:szCs w:val="18"/>
        </w:rPr>
        <w:t xml:space="preserve">. “21 </w:t>
      </w:r>
      <w:r>
        <w:rPr>
          <w:rFonts w:asciiTheme="minorEastAsia" w:hAnsiTheme="minorEastAsia" w:hint="eastAsia"/>
          <w:sz w:val="18"/>
          <w:szCs w:val="18"/>
        </w:rPr>
        <w:t>年間の調査から見た大学生の字雑の特徴と危険因子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−予防への手がかりを探る−”</w:t>
      </w:r>
      <w:r>
        <w:rPr>
          <w:rFonts w:asciiTheme="minorEastAsia" w:hAnsiTheme="minorEastAsia"/>
          <w:sz w:val="18"/>
          <w:szCs w:val="18"/>
        </w:rPr>
        <w:t xml:space="preserve">, </w:t>
      </w:r>
      <w:r>
        <w:rPr>
          <w:rFonts w:asciiTheme="minorEastAsia" w:hAnsiTheme="minorEastAsia" w:hint="eastAsia"/>
          <w:sz w:val="18"/>
          <w:szCs w:val="18"/>
        </w:rPr>
        <w:t>精神神経学雑誌</w:t>
      </w:r>
      <w:r>
        <w:rPr>
          <w:rFonts w:asciiTheme="minorEastAsia" w:hAnsiTheme="minorEastAsia"/>
          <w:sz w:val="18"/>
          <w:szCs w:val="18"/>
        </w:rPr>
        <w:t xml:space="preserve">, </w:t>
      </w:r>
      <w:r>
        <w:rPr>
          <w:rFonts w:asciiTheme="minorEastAsia" w:hAnsiTheme="minorEastAsia" w:hint="eastAsia"/>
          <w:sz w:val="18"/>
          <w:szCs w:val="18"/>
        </w:rPr>
        <w:t>第</w:t>
      </w:r>
      <w:r>
        <w:rPr>
          <w:rFonts w:asciiTheme="minorEastAsia" w:hAnsiTheme="minorEastAsia"/>
          <w:sz w:val="18"/>
          <w:szCs w:val="18"/>
        </w:rPr>
        <w:t>112</w:t>
      </w:r>
      <w:r>
        <w:rPr>
          <w:rFonts w:asciiTheme="minorEastAsia" w:hAnsiTheme="minorEastAsia" w:hint="eastAsia"/>
          <w:sz w:val="18"/>
          <w:szCs w:val="18"/>
        </w:rPr>
        <w:t>巻</w:t>
      </w:r>
      <w:r>
        <w:rPr>
          <w:rFonts w:asciiTheme="minorEastAsia" w:hAnsiTheme="minorEastAsia"/>
          <w:sz w:val="18"/>
          <w:szCs w:val="18"/>
        </w:rPr>
        <w:t xml:space="preserve">, </w:t>
      </w:r>
      <w:r>
        <w:rPr>
          <w:rFonts w:asciiTheme="minorEastAsia" w:hAnsiTheme="minorEastAsia" w:hint="eastAsia"/>
          <w:sz w:val="18"/>
          <w:szCs w:val="18"/>
        </w:rPr>
        <w:t>第6号</w:t>
      </w:r>
      <w:r>
        <w:rPr>
          <w:rFonts w:asciiTheme="minorEastAsia" w:hAnsiTheme="minorEastAsia"/>
          <w:sz w:val="18"/>
          <w:szCs w:val="18"/>
        </w:rPr>
        <w:t>, 2010.</w:t>
      </w:r>
    </w:p>
    <w:p w:rsidR="00433988" w:rsidRPr="00433988" w:rsidRDefault="00433988" w:rsidP="007B73F3">
      <w:pPr>
        <w:pStyle w:val="a5"/>
        <w:numPr>
          <w:ilvl w:val="0"/>
          <w:numId w:val="2"/>
        </w:numPr>
        <w:snapToGrid w:val="0"/>
        <w:ind w:left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厚生労働省</w:t>
      </w:r>
      <w:r>
        <w:rPr>
          <w:rFonts w:asciiTheme="minorEastAsia" w:hAnsiTheme="minorEastAsia"/>
          <w:sz w:val="18"/>
          <w:szCs w:val="18"/>
        </w:rPr>
        <w:t>. “</w:t>
      </w:r>
      <w:r>
        <w:rPr>
          <w:rFonts w:asciiTheme="minorEastAsia" w:hAnsiTheme="minorEastAsia" w:hint="eastAsia"/>
          <w:sz w:val="18"/>
          <w:szCs w:val="18"/>
        </w:rPr>
        <w:t>死因順位</w:t>
      </w:r>
      <w:r>
        <w:rPr>
          <w:rFonts w:asciiTheme="minorEastAsia" w:hAnsiTheme="minorEastAsia"/>
          <w:sz w:val="18"/>
          <w:szCs w:val="18"/>
        </w:rPr>
        <w:t>（1~5</w:t>
      </w:r>
      <w:r>
        <w:rPr>
          <w:rFonts w:asciiTheme="minorEastAsia" w:hAnsiTheme="minorEastAsia" w:hint="eastAsia"/>
          <w:sz w:val="18"/>
          <w:szCs w:val="18"/>
        </w:rPr>
        <w:t>位）別死亡数・死亡率（人口</w:t>
      </w:r>
      <w:r>
        <w:rPr>
          <w:rFonts w:asciiTheme="minorEastAsia" w:hAnsiTheme="minorEastAsia"/>
          <w:sz w:val="18"/>
          <w:szCs w:val="18"/>
        </w:rPr>
        <w:t>10</w:t>
      </w:r>
      <w:r>
        <w:rPr>
          <w:rFonts w:asciiTheme="minorEastAsia" w:hAnsiTheme="minorEastAsia" w:hint="eastAsia"/>
          <w:sz w:val="18"/>
          <w:szCs w:val="18"/>
        </w:rPr>
        <w:t>万対）</w:t>
      </w:r>
      <w:r>
        <w:rPr>
          <w:rFonts w:asciiTheme="minorEastAsia" w:hAnsiTheme="minorEastAsia"/>
          <w:sz w:val="18"/>
          <w:szCs w:val="18"/>
        </w:rPr>
        <w:t>”</w:t>
      </w:r>
      <w:r w:rsidRPr="00433988">
        <w:rPr>
          <w:rFonts w:asciiTheme="minorEastAsia" w:hAnsiTheme="minorEastAsia" w:hint="eastAsia"/>
          <w:sz w:val="18"/>
          <w:szCs w:val="18"/>
        </w:rPr>
        <w:t>, 2018.</w:t>
      </w:r>
      <w:r>
        <w:rPr>
          <w:rFonts w:asciiTheme="minorEastAsia" w:hAnsiTheme="minorEastAsia"/>
          <w:sz w:val="18"/>
          <w:szCs w:val="18"/>
        </w:rPr>
        <w:br/>
      </w:r>
      <w:r w:rsidRPr="00433988">
        <w:rPr>
          <w:rFonts w:asciiTheme="minorEastAsia" w:hAnsiTheme="minorEastAsia" w:hint="eastAsia"/>
          <w:sz w:val="18"/>
          <w:szCs w:val="18"/>
        </w:rPr>
        <w:t>https://www.mhlw.go.jp/content/H30kakutei-f02.pdf</w:t>
      </w:r>
      <w:r w:rsidRPr="00433988">
        <w:rPr>
          <w:rFonts w:asciiTheme="minorEastAsia" w:hAnsiTheme="minorEastAsia" w:hint="eastAsia"/>
          <w:sz w:val="18"/>
          <w:szCs w:val="18"/>
        </w:rPr>
        <w:t>（</w:t>
      </w:r>
      <w:r w:rsidRPr="00433988">
        <w:rPr>
          <w:rFonts w:asciiTheme="minorEastAsia" w:hAnsiTheme="minorEastAsia" w:hint="eastAsia"/>
          <w:sz w:val="18"/>
          <w:szCs w:val="18"/>
        </w:rPr>
        <w:t>2</w:t>
      </w:r>
      <w:r w:rsidRPr="00433988">
        <w:rPr>
          <w:rFonts w:asciiTheme="minorEastAsia" w:hAnsiTheme="minorEastAsia" w:hint="eastAsia"/>
          <w:sz w:val="18"/>
          <w:szCs w:val="18"/>
        </w:rPr>
        <w:t>020/04/01</w:t>
      </w:r>
      <w:r w:rsidRPr="00433988">
        <w:rPr>
          <w:rFonts w:asciiTheme="minorEastAsia" w:hAnsiTheme="minorEastAsia" w:hint="eastAsia"/>
          <w:sz w:val="18"/>
          <w:szCs w:val="18"/>
        </w:rPr>
        <w:t>閲覧）</w:t>
      </w:r>
    </w:p>
    <w:sectPr w:rsidR="00433988" w:rsidRPr="00433988" w:rsidSect="007B73F3">
      <w:type w:val="continuous"/>
      <w:pgSz w:w="11900" w:h="16840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F16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70D1974"/>
    <w:multiLevelType w:val="hybridMultilevel"/>
    <w:tmpl w:val="3BFC9150"/>
    <w:lvl w:ilvl="0" w:tplc="C30C246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C"/>
    <w:rsid w:val="001A3C6C"/>
    <w:rsid w:val="0021169C"/>
    <w:rsid w:val="003B53C3"/>
    <w:rsid w:val="00433988"/>
    <w:rsid w:val="007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BB00"/>
  <w15:chartTrackingRefBased/>
  <w15:docId w15:val="{C52B81A0-8925-2745-86AD-C001F435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A3C6C"/>
  </w:style>
  <w:style w:type="character" w:customStyle="1" w:styleId="a4">
    <w:name w:val="日付 (文字)"/>
    <w:basedOn w:val="a0"/>
    <w:link w:val="a3"/>
    <w:uiPriority w:val="99"/>
    <w:semiHidden/>
    <w:rsid w:val="001A3C6C"/>
  </w:style>
  <w:style w:type="paragraph" w:styleId="a5">
    <w:name w:val="List Paragraph"/>
    <w:basedOn w:val="a"/>
    <w:uiPriority w:val="34"/>
    <w:qFormat/>
    <w:rsid w:val="001A3C6C"/>
    <w:pPr>
      <w:ind w:leftChars="400" w:left="840"/>
    </w:pPr>
  </w:style>
  <w:style w:type="character" w:styleId="a6">
    <w:name w:val="Hyperlink"/>
    <w:basedOn w:val="a0"/>
    <w:uiPriority w:val="99"/>
    <w:unhideWhenUsed/>
    <w:rsid w:val="004339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398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33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中島武三志</dc:creator>
  <cp:keywords/>
  <dc:description/>
  <cp:lastModifiedBy>中島武三志</cp:lastModifiedBy>
  <cp:revision>1</cp:revision>
  <dcterms:created xsi:type="dcterms:W3CDTF">2020-05-23T02:12:00Z</dcterms:created>
  <dcterms:modified xsi:type="dcterms:W3CDTF">2020-05-23T02:41:00Z</dcterms:modified>
</cp:coreProperties>
</file>