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3. Fusionの基本操作/ペン立ての作成（前半グループ）</w:t>
      </w:r>
    </w:p>
    <w:p w:rsidR="00000000" w:rsidDel="00000000" w:rsidP="00000000" w:rsidRDefault="00000000" w:rsidRPr="00000000" w14:paraId="00000002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4. Fusionの基本操作/ペン立ての作成（前半グループ）</w:t>
      </w:r>
    </w:p>
    <w:p w:rsidR="00000000" w:rsidDel="00000000" w:rsidP="00000000" w:rsidRDefault="00000000" w:rsidRPr="00000000" w14:paraId="00000003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9. ジョイント・モーションリンク</w:t>
      </w:r>
    </w:p>
    <w:p w:rsidR="00000000" w:rsidDel="00000000" w:rsidP="00000000" w:rsidRDefault="00000000" w:rsidRPr="00000000" w14:paraId="00000005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10. 歯車機構</w:t>
      </w:r>
    </w:p>
    <w:p w:rsidR="00000000" w:rsidDel="00000000" w:rsidP="00000000" w:rsidRDefault="00000000" w:rsidRPr="00000000" w14:paraId="00000006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11. カム機構</w:t>
      </w:r>
    </w:p>
    <w:p w:rsidR="00000000" w:rsidDel="00000000" w:rsidP="00000000" w:rsidRDefault="00000000" w:rsidRPr="00000000" w14:paraId="00000007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12. 作品制作 1</w:t>
      </w:r>
    </w:p>
    <w:p w:rsidR="00000000" w:rsidDel="00000000" w:rsidP="00000000" w:rsidRDefault="00000000" w:rsidRPr="00000000" w14:paraId="00000008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13. 作品制作 2</w:t>
      </w:r>
    </w:p>
    <w:p w:rsidR="00000000" w:rsidDel="00000000" w:rsidP="00000000" w:rsidRDefault="00000000" w:rsidRPr="00000000" w14:paraId="00000009">
      <w:pPr>
        <w:rPr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14. 作品の完成・動画撮影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highlight w:val="white"/>
          <w:rtl w:val="0"/>
        </w:rPr>
        <w:t xml:space="preserve">15. 作品発表・講評と全体のまとめ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ja"/>
      </w:rPr>
    </w:rPrDefault>
    <w:pPrDefault>
      <w:pPr>
        <w:spacing w:line="360" w:lineRule="auto"/>
        <w:ind w:left="1133.858267716535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Rule="auto"/>
      <w:ind w:left="425.19685039370086" w:firstLine="3.661417322834666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200" w:line="360" w:lineRule="auto"/>
      <w:ind w:left="720" w:hanging="36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200" w:lineRule="auto"/>
      <w:ind w:left="708.6614173228347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