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DED6C" w14:textId="31B17C08" w:rsidR="001C4F74" w:rsidRDefault="001C4F74" w:rsidP="00751DF0">
      <w:pPr>
        <w:shd w:val="clear" w:color="auto" w:fill="FFFFFF"/>
        <w:spacing w:before="300" w:after="150" w:line="57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</w:pPr>
      <w:r w:rsidRPr="001C4F74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 xml:space="preserve">Analysing Housing Prices </w:t>
      </w:r>
      <w:proofErr w:type="gramStart"/>
      <w:r w:rsidRPr="001C4F74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>In</w:t>
      </w:r>
      <w:proofErr w:type="gramEnd"/>
      <w:r w:rsidRPr="001C4F74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 xml:space="preserve"> Metropolitan Areas Of India</w:t>
      </w:r>
    </w:p>
    <w:p w14:paraId="00EFFA7A" w14:textId="77777777" w:rsidR="001C4F74" w:rsidRPr="001C4F74" w:rsidRDefault="001C4F74" w:rsidP="00751DF0">
      <w:pPr>
        <w:shd w:val="clear" w:color="auto" w:fill="FFFFFF"/>
        <w:spacing w:before="300" w:after="150" w:line="57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</w:pPr>
    </w:p>
    <w:p w14:paraId="0B88659E" w14:textId="1168DD4F" w:rsidR="000A6F1A" w:rsidRPr="00751DF0" w:rsidRDefault="001C4F74" w:rsidP="00751DF0">
      <w:pPr>
        <w:rPr>
          <w:b/>
          <w:bCs/>
          <w:lang w:val="en-US"/>
        </w:rPr>
      </w:pPr>
      <w:r w:rsidRPr="00751DF0">
        <w:rPr>
          <w:b/>
          <w:bCs/>
          <w:lang w:val="en-US"/>
        </w:rPr>
        <w:t>1 INTRODUCTION</w:t>
      </w:r>
    </w:p>
    <w:p w14:paraId="7EFEE202" w14:textId="4F59600C" w:rsidR="001C4F74" w:rsidRPr="00751DF0" w:rsidRDefault="001C4F74" w:rsidP="00751DF0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751DF0">
        <w:rPr>
          <w:b/>
          <w:bCs/>
          <w:lang w:val="en-US"/>
        </w:rPr>
        <w:t>Overview</w:t>
      </w:r>
    </w:p>
    <w:p w14:paraId="6ABEC6AC" w14:textId="7E064E14" w:rsidR="001C4F74" w:rsidRDefault="001C4F74" w:rsidP="00751D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</w:rPr>
        <w:t>House price prediction in a metropolitan city in India is a valuable solution for potential home buyers, real estate agents, and investors. By leveraging historical sales data, property details, and location-specific information, a predictive model can accurately estimate house prices. The model's scalability, real-time updates, user-friendly interface, and transparency ensure it meets the needs of stakeholders. Integration capability, data privacy, and cost-effectiveness are also important considerations. By addressing these requirements, the prediction model provides reliable insights, empowering stakeholders to make informed decisions in the fast-paced real estate market.</w:t>
      </w:r>
    </w:p>
    <w:p w14:paraId="180F1E5A" w14:textId="0684C364" w:rsidR="001C4F74" w:rsidRPr="001C4F74" w:rsidRDefault="001C4F74" w:rsidP="00751D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60A2219" w14:textId="77777777" w:rsidR="001C4F74" w:rsidRPr="001C4F74" w:rsidRDefault="001C4F74" w:rsidP="00751DF0">
      <w:pPr>
        <w:pStyle w:val="ListParagraph"/>
        <w:ind w:left="360"/>
        <w:rPr>
          <w:lang w:val="en-US"/>
        </w:rPr>
      </w:pPr>
      <w:r w:rsidRPr="001C4F74">
        <w:rPr>
          <w:lang w:val="en-US"/>
        </w:rPr>
        <w:t>1.2</w:t>
      </w:r>
      <w:r w:rsidRPr="00751DF0">
        <w:rPr>
          <w:b/>
          <w:bCs/>
          <w:lang w:val="en-US"/>
        </w:rPr>
        <w:t xml:space="preserve"> Purpose</w:t>
      </w:r>
    </w:p>
    <w:p w14:paraId="0887F7BC" w14:textId="1DD2DD03" w:rsidR="001C4F74" w:rsidRPr="001C4F74" w:rsidRDefault="001C4F74" w:rsidP="007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F74">
        <w:rPr>
          <w:rFonts w:ascii="Arial" w:eastAsia="Times New Roman" w:hAnsi="Arial" w:cs="Arial"/>
          <w:color w:val="444444"/>
          <w:sz w:val="21"/>
          <w:szCs w:val="21"/>
          <w:shd w:val="clear" w:color="auto" w:fill="F1EDFF"/>
          <w:lang w:eastAsia="en-IN"/>
        </w:rPr>
        <w:t>The </w:t>
      </w:r>
      <w:r w:rsidRPr="001C4F74">
        <w:rPr>
          <w:rFonts w:ascii="Arial" w:eastAsia="Times New Roman" w:hAnsi="Arial" w:cs="Arial"/>
          <w:b/>
          <w:bCs/>
          <w:color w:val="444444"/>
          <w:sz w:val="21"/>
          <w:szCs w:val="21"/>
          <w:shd w:val="clear" w:color="auto" w:fill="F1EDFF"/>
          <w:lang w:eastAsia="en-IN"/>
        </w:rPr>
        <w:t>Census Commission</w:t>
      </w:r>
      <w:r w:rsidRPr="001C4F74">
        <w:rPr>
          <w:rFonts w:ascii="Arial" w:eastAsia="Times New Roman" w:hAnsi="Arial" w:cs="Arial"/>
          <w:color w:val="444444"/>
          <w:sz w:val="21"/>
          <w:szCs w:val="21"/>
          <w:shd w:val="clear" w:color="auto" w:fill="F1EDFF"/>
          <w:lang w:eastAsia="en-IN"/>
        </w:rPr>
        <w:t> of India defines Metropolitan cities as those Indian cities having a population of </w:t>
      </w:r>
      <w:r w:rsidRPr="001C4F74">
        <w:rPr>
          <w:rFonts w:ascii="Arial" w:eastAsia="Times New Roman" w:hAnsi="Arial" w:cs="Arial"/>
          <w:b/>
          <w:bCs/>
          <w:color w:val="444444"/>
          <w:sz w:val="21"/>
          <w:szCs w:val="21"/>
          <w:shd w:val="clear" w:color="auto" w:fill="F1EDFF"/>
          <w:lang w:eastAsia="en-IN"/>
        </w:rPr>
        <w:t>more than 4 million.</w:t>
      </w:r>
    </w:p>
    <w:p w14:paraId="6337A9AE" w14:textId="52880886" w:rsidR="001C4F74" w:rsidRDefault="001C4F74" w:rsidP="00751DF0">
      <w:pPr>
        <w:shd w:val="clear" w:color="auto" w:fill="F1EDFF"/>
        <w:spacing w:after="0" w:line="360" w:lineRule="atLeast"/>
        <w:rPr>
          <w:rFonts w:ascii="Arial" w:eastAsia="Times New Roman" w:hAnsi="Arial" w:cs="Arial"/>
          <w:color w:val="444444"/>
          <w:sz w:val="24"/>
          <w:szCs w:val="24"/>
          <w:lang w:eastAsia="en-IN"/>
        </w:rPr>
      </w:pPr>
      <w:r w:rsidRPr="001C4F74">
        <w:rPr>
          <w:rFonts w:ascii="Arial" w:eastAsia="Times New Roman" w:hAnsi="Arial" w:cs="Arial"/>
          <w:color w:val="444444"/>
          <w:sz w:val="24"/>
          <w:szCs w:val="24"/>
          <w:lang w:eastAsia="en-IN"/>
        </w:rPr>
        <w:t xml:space="preserve">The 74th Amendment to the Indian Constitution defines a metropolitan area as </w:t>
      </w:r>
      <w:proofErr w:type="gramStart"/>
      <w:r w:rsidRPr="001C4F74">
        <w:rPr>
          <w:rFonts w:ascii="Arial" w:eastAsia="Times New Roman" w:hAnsi="Arial" w:cs="Arial"/>
          <w:color w:val="444444"/>
          <w:sz w:val="24"/>
          <w:szCs w:val="24"/>
          <w:lang w:eastAsia="en-IN"/>
        </w:rPr>
        <w:t>An</w:t>
      </w:r>
      <w:proofErr w:type="gramEnd"/>
      <w:r w:rsidRPr="001C4F74">
        <w:rPr>
          <w:rFonts w:ascii="Arial" w:eastAsia="Times New Roman" w:hAnsi="Arial" w:cs="Arial"/>
          <w:color w:val="444444"/>
          <w:sz w:val="24"/>
          <w:szCs w:val="24"/>
          <w:lang w:eastAsia="en-IN"/>
        </w:rPr>
        <w:t xml:space="preserve"> area having a </w:t>
      </w:r>
      <w:r w:rsidRPr="001C4F74">
        <w:rPr>
          <w:rFonts w:ascii="Arial" w:eastAsia="Times New Roman" w:hAnsi="Arial" w:cs="Arial"/>
          <w:b/>
          <w:bCs/>
          <w:color w:val="444444"/>
          <w:sz w:val="24"/>
          <w:szCs w:val="24"/>
          <w:lang w:eastAsia="en-IN"/>
        </w:rPr>
        <w:t>population of 10 Lakh or 1 Million </w:t>
      </w:r>
      <w:r w:rsidRPr="001C4F74">
        <w:rPr>
          <w:rFonts w:ascii="Arial" w:eastAsia="Times New Roman" w:hAnsi="Arial" w:cs="Arial"/>
          <w:color w:val="444444"/>
          <w:sz w:val="24"/>
          <w:szCs w:val="24"/>
          <w:lang w:eastAsia="en-IN"/>
        </w:rPr>
        <w:t>or more, comprised in one or more districts and consisting of two or more Municipalities or Panchayats or other contiguous areas, specified by the Governor by public notification to be a Metropolitan area.</w:t>
      </w:r>
    </w:p>
    <w:p w14:paraId="47BBDB3D" w14:textId="0CD695D8" w:rsidR="001C4F74" w:rsidRDefault="001C4F74" w:rsidP="00751DF0">
      <w:pPr>
        <w:shd w:val="clear" w:color="auto" w:fill="F1EDFF"/>
        <w:spacing w:after="0" w:line="360" w:lineRule="atLeast"/>
        <w:rPr>
          <w:rFonts w:ascii="Arial" w:eastAsia="Times New Roman" w:hAnsi="Arial" w:cs="Arial"/>
          <w:color w:val="444444"/>
          <w:sz w:val="24"/>
          <w:szCs w:val="24"/>
          <w:lang w:eastAsia="en-IN"/>
        </w:rPr>
      </w:pPr>
    </w:p>
    <w:p w14:paraId="1F3F3B6A" w14:textId="70B2F486" w:rsidR="001C4F74" w:rsidRPr="001C4F74" w:rsidRDefault="001C4F74" w:rsidP="00751DF0">
      <w:pPr>
        <w:shd w:val="clear" w:color="auto" w:fill="F1EDFF"/>
        <w:spacing w:after="0" w:line="360" w:lineRule="atLeast"/>
        <w:rPr>
          <w:rFonts w:ascii="Arial" w:eastAsia="Times New Roman" w:hAnsi="Arial" w:cs="Arial"/>
          <w:b/>
          <w:bCs/>
          <w:color w:val="444444"/>
          <w:sz w:val="24"/>
          <w:szCs w:val="24"/>
          <w:lang w:eastAsia="en-IN"/>
        </w:rPr>
      </w:pPr>
      <w:r w:rsidRPr="00751DF0">
        <w:rPr>
          <w:rFonts w:ascii="Arial" w:eastAsia="Times New Roman" w:hAnsi="Arial" w:cs="Arial"/>
          <w:b/>
          <w:bCs/>
          <w:color w:val="444444"/>
          <w:sz w:val="24"/>
          <w:szCs w:val="24"/>
          <w:lang w:eastAsia="en-IN"/>
        </w:rPr>
        <w:t>2 Problem Definition &amp; Design Thinking</w:t>
      </w:r>
    </w:p>
    <w:p w14:paraId="421F8C62" w14:textId="3D758D50" w:rsidR="001C4F74" w:rsidRDefault="001C4F74" w:rsidP="00751DF0">
      <w:pPr>
        <w:pStyle w:val="ListParagraph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br/>
      </w:r>
      <w:r>
        <w:rPr>
          <w:rFonts w:ascii="Arial" w:hAnsi="Arial" w:cs="Arial"/>
          <w:sz w:val="21"/>
          <w:szCs w:val="21"/>
          <w:shd w:val="clear" w:color="auto" w:fill="FFFFFF"/>
        </w:rPr>
        <w:t>Problem Understanding, also known as Problem Definition or Problem Identification, is the initial and critical phase of any data analysis or problem-solving process. It involves gaining a clear and comprehensive understanding of the problem at hand, its context, scope, and objectives.</w:t>
      </w:r>
    </w:p>
    <w:p w14:paraId="6E47F430" w14:textId="596FBC9D" w:rsidR="001C4F74" w:rsidRDefault="001C4F74" w:rsidP="00751DF0">
      <w:pPr>
        <w:pStyle w:val="ListParagraph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4AB440D8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2D3FF8F4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1BAD6268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0521A4F3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7FDB6A23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1967ED55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3AF7494F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6D83CC20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12B72386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55DD03C1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2EA3B185" w14:textId="16DA7591" w:rsidR="001C4F74" w:rsidRPr="00751DF0" w:rsidRDefault="001C4F74" w:rsidP="00751DF0">
      <w:pPr>
        <w:pStyle w:val="ListParagraph"/>
        <w:ind w:left="360"/>
        <w:rPr>
          <w:b/>
          <w:bCs/>
          <w:lang w:val="en-US"/>
        </w:rPr>
      </w:pPr>
      <w:r w:rsidRPr="00751DF0">
        <w:rPr>
          <w:b/>
          <w:bCs/>
          <w:lang w:val="en-US"/>
        </w:rPr>
        <w:t>2.1 Empathy Map</w:t>
      </w:r>
    </w:p>
    <w:p w14:paraId="5D326AFB" w14:textId="0398DD6E" w:rsidR="00C37B12" w:rsidRDefault="00C37B12" w:rsidP="00751DF0">
      <w:pPr>
        <w:pStyle w:val="ListParagraph"/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A738720" wp14:editId="7B791145">
            <wp:extent cx="5560060" cy="30523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24" cy="30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D0C1" w14:textId="77777777" w:rsidR="00C37B12" w:rsidRDefault="00C37B12" w:rsidP="00751DF0">
      <w:pPr>
        <w:pStyle w:val="ListParagraph"/>
        <w:ind w:left="360"/>
        <w:rPr>
          <w:noProof/>
          <w:lang w:val="en-US"/>
        </w:rPr>
      </w:pPr>
    </w:p>
    <w:p w14:paraId="61485A04" w14:textId="77777777" w:rsidR="00C37B12" w:rsidRDefault="00C37B12" w:rsidP="00751DF0">
      <w:pPr>
        <w:pStyle w:val="ListParagraph"/>
        <w:ind w:left="360"/>
        <w:rPr>
          <w:lang w:val="en-US"/>
        </w:rPr>
      </w:pPr>
    </w:p>
    <w:p w14:paraId="62C30398" w14:textId="77777777" w:rsidR="00C37B12" w:rsidRDefault="00C37B12" w:rsidP="00751DF0">
      <w:pPr>
        <w:pStyle w:val="ListParagraph"/>
        <w:ind w:left="360"/>
        <w:rPr>
          <w:noProof/>
          <w:lang w:val="en-US"/>
        </w:rPr>
      </w:pPr>
    </w:p>
    <w:p w14:paraId="26B7EDB0" w14:textId="4AF5A19B" w:rsidR="00C37B12" w:rsidRPr="00751DF0" w:rsidRDefault="00C37B12" w:rsidP="00751DF0">
      <w:pPr>
        <w:rPr>
          <w:b/>
          <w:bCs/>
          <w:noProof/>
          <w:lang w:val="en-US"/>
        </w:rPr>
      </w:pPr>
      <w:r w:rsidRPr="00751DF0">
        <w:rPr>
          <w:b/>
          <w:bCs/>
          <w:noProof/>
          <w:lang w:val="en-US"/>
        </w:rPr>
        <w:t>2.2 Ideation &amp; Brainstorming Map</w:t>
      </w:r>
    </w:p>
    <w:p w14:paraId="4C458815" w14:textId="7EAE84F0" w:rsidR="00C37B12" w:rsidRPr="00C37B12" w:rsidRDefault="00C37B12" w:rsidP="00751DF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82ED8D0" wp14:editId="4553640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495" w14:textId="4BA4AC19" w:rsidR="001C4F74" w:rsidRDefault="001C4F74" w:rsidP="00751DF0">
      <w:pPr>
        <w:pStyle w:val="ListParagraph"/>
        <w:ind w:left="360"/>
        <w:rPr>
          <w:lang w:val="en-US"/>
        </w:rPr>
      </w:pPr>
    </w:p>
    <w:p w14:paraId="076B15AD" w14:textId="56BAB795" w:rsidR="00C37B12" w:rsidRDefault="00C37B12" w:rsidP="00751DF0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3ABD15" wp14:editId="0F0B3437">
            <wp:extent cx="5731510" cy="3709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5293D5" wp14:editId="6F1B9720">
            <wp:extent cx="5731510" cy="4795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3A4" w14:textId="77777777" w:rsidR="00C37B12" w:rsidRDefault="00C37B12" w:rsidP="00751DF0">
      <w:pPr>
        <w:rPr>
          <w:lang w:val="en-US"/>
        </w:rPr>
      </w:pPr>
      <w:r>
        <w:rPr>
          <w:lang w:val="en-US"/>
        </w:rPr>
        <w:br w:type="page"/>
      </w:r>
    </w:p>
    <w:p w14:paraId="6FD4EDFB" w14:textId="1A69329B" w:rsidR="00C37B12" w:rsidRPr="00751DF0" w:rsidRDefault="00C37B12" w:rsidP="00751DF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51DF0">
        <w:rPr>
          <w:b/>
          <w:bCs/>
          <w:lang w:val="en-US"/>
        </w:rPr>
        <w:lastRenderedPageBreak/>
        <w:t>RESULT</w:t>
      </w:r>
    </w:p>
    <w:p w14:paraId="776098C1" w14:textId="199E88DA" w:rsidR="00DC7F32" w:rsidRDefault="00C37B12" w:rsidP="00751DF0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EA331" wp14:editId="3B72522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CA4AC8" wp14:editId="030731D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2265020" wp14:editId="1169349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478090" wp14:editId="0A4847F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BAA831B" wp14:editId="3E12B22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C4E54E" wp14:editId="0E16B90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B801B90" wp14:editId="4677109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15C327" wp14:editId="705C62A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6E3A2C2" wp14:editId="02D4463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8520FB" wp14:editId="637846B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BDD91D" wp14:editId="082D5CE7">
            <wp:extent cx="5731510" cy="4124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46D6E9" wp14:editId="20E211AE">
            <wp:extent cx="5731510" cy="3429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428" w14:textId="77777777" w:rsidR="00DC7F32" w:rsidRDefault="00DC7F32" w:rsidP="00751DF0">
      <w:pPr>
        <w:rPr>
          <w:lang w:val="en-US"/>
        </w:rPr>
      </w:pPr>
      <w:r>
        <w:rPr>
          <w:lang w:val="en-US"/>
        </w:rPr>
        <w:br w:type="page"/>
      </w:r>
    </w:p>
    <w:p w14:paraId="3A3A633C" w14:textId="77777777" w:rsidR="00DC7F32" w:rsidRDefault="00DC7F32" w:rsidP="00751DF0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3DF751" wp14:editId="7F571E8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DBB" w14:textId="77777777" w:rsidR="00DC7F32" w:rsidRDefault="00DC7F32" w:rsidP="00751DF0">
      <w:pPr>
        <w:rPr>
          <w:lang w:val="en-US"/>
        </w:rPr>
      </w:pPr>
    </w:p>
    <w:p w14:paraId="6B0169C8" w14:textId="77777777" w:rsidR="00DC7F32" w:rsidRDefault="00DC7F32" w:rsidP="00751DF0">
      <w:pPr>
        <w:rPr>
          <w:lang w:val="en-US"/>
        </w:rPr>
      </w:pPr>
    </w:p>
    <w:p w14:paraId="3C661ED8" w14:textId="34BA1DA2" w:rsidR="00DC7F32" w:rsidRDefault="00DC7F32" w:rsidP="00751D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0FAF88" wp14:editId="57DD085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EA69" w14:textId="5596BC90" w:rsidR="00DC7F32" w:rsidRDefault="00DC7F32" w:rsidP="00751DF0">
      <w:pPr>
        <w:rPr>
          <w:lang w:val="en-US"/>
        </w:rPr>
      </w:pPr>
      <w:r w:rsidRPr="00DC7F32">
        <w:rPr>
          <w:lang w:val="en-US"/>
        </w:rPr>
        <w:br w:type="page"/>
      </w:r>
    </w:p>
    <w:p w14:paraId="0E9C34B4" w14:textId="5F6A6CF3" w:rsidR="00C37B12" w:rsidRPr="00751DF0" w:rsidRDefault="00DC7F32" w:rsidP="00751DF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51DF0">
        <w:rPr>
          <w:b/>
          <w:bCs/>
          <w:lang w:val="en-US"/>
        </w:rPr>
        <w:lastRenderedPageBreak/>
        <w:t>ADVANTAGES &amp; DISADVANTAGES</w:t>
      </w:r>
    </w:p>
    <w:p w14:paraId="71D1F76B" w14:textId="275674A4" w:rsidR="00DC7F32" w:rsidRPr="00751DF0" w:rsidRDefault="00751DF0" w:rsidP="00751DF0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</w:t>
      </w:r>
      <w:proofErr w:type="gramStart"/>
      <w:r>
        <w:rPr>
          <w:b/>
          <w:bCs/>
          <w:lang w:val="en-US"/>
        </w:rPr>
        <w:t>4.2  Ad</w:t>
      </w:r>
      <w:r w:rsidR="00DC7F32" w:rsidRPr="00751DF0">
        <w:rPr>
          <w:b/>
          <w:bCs/>
          <w:lang w:val="en-US"/>
        </w:rPr>
        <w:t>vantages</w:t>
      </w:r>
      <w:proofErr w:type="gramEnd"/>
    </w:p>
    <w:p w14:paraId="2E54B090" w14:textId="61BB0C01" w:rsidR="00DC7F32" w:rsidRPr="00DC7F32" w:rsidRDefault="00DC7F32" w:rsidP="00751D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There are many advantages and disadvantages to living in a big city.</w:t>
      </w:r>
    </w:p>
    <w:p w14:paraId="46C48D75" w14:textId="77777777" w:rsidR="00DC7F32" w:rsidRPr="00DC7F32" w:rsidRDefault="00DC7F32" w:rsidP="00751D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The advantages include access to better schools, more job opportunities, and more entertainment options.</w:t>
      </w:r>
    </w:p>
    <w:p w14:paraId="54BCE2EE" w14:textId="5FC86950" w:rsidR="00DC7F32" w:rsidRPr="00DC7F32" w:rsidRDefault="00DC7F32" w:rsidP="00751D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The disadvantages include higher cost of living, more crime, and greater pollution levels.</w:t>
      </w:r>
    </w:p>
    <w:p w14:paraId="6AC52BB4" w14:textId="267D11EF" w:rsidR="00E96503" w:rsidRPr="00E96503" w:rsidRDefault="00DC7F32" w:rsidP="00751D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Ultimately, the decision of whether to live in a big city depends on your own personal preferences and needs. The decision of whether to live in a big city is a personal o</w:t>
      </w:r>
      <w:r w:rsidR="00E96503">
        <w:rPr>
          <w:rFonts w:ascii="Arial" w:hAnsi="Arial" w:cs="Arial"/>
          <w:color w:val="444444"/>
          <w:sz w:val="27"/>
          <w:szCs w:val="27"/>
          <w:shd w:val="clear" w:color="auto" w:fill="FFFFFF"/>
        </w:rPr>
        <w:t>ne.</w:t>
      </w:r>
    </w:p>
    <w:p w14:paraId="5A2EA814" w14:textId="1A5C8774" w:rsidR="00E96503" w:rsidRPr="00751DF0" w:rsidRDefault="00E96503" w:rsidP="00751DF0">
      <w:pPr>
        <w:ind w:left="1440"/>
        <w:rPr>
          <w:b/>
          <w:bCs/>
          <w:lang w:val="en-US"/>
        </w:rPr>
      </w:pPr>
      <w:r w:rsidRPr="00751DF0">
        <w:rPr>
          <w:rFonts w:ascii="Arial" w:hAnsi="Arial" w:cs="Arial"/>
          <w:b/>
          <w:bCs/>
          <w:color w:val="444444"/>
          <w:sz w:val="27"/>
          <w:szCs w:val="27"/>
          <w:shd w:val="clear" w:color="auto" w:fill="FFFFFF"/>
        </w:rPr>
        <w:t>4.2 Disadvantages</w:t>
      </w:r>
    </w:p>
    <w:p w14:paraId="5A5A5C8E" w14:textId="77777777" w:rsidR="00E96503" w:rsidRDefault="00E96503" w:rsidP="00751DF0">
      <w:pPr>
        <w:pStyle w:val="has-text-align-justify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It’s expensive. The cost of living is high in most big cities, which can make it difficult to make ends meet if you don’t have a high-paying job.</w:t>
      </w:r>
    </w:p>
    <w:p w14:paraId="263D74D2" w14:textId="369C3F97" w:rsidR="00E96503" w:rsidRDefault="00E96503" w:rsidP="00751DF0">
      <w:pPr>
        <w:pStyle w:val="has-text-align-justify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The pace of life is fast. If you like a slow-paced lifestyle, you might find that the constant hustle and bustle of a big city wears you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4E2354A0" w14:textId="3C3EB5CC" w:rsidR="00E96503" w:rsidRDefault="00E96503" w:rsidP="00751DF0">
      <w:pPr>
        <w:pStyle w:val="ListParagraph"/>
        <w:ind w:left="1800"/>
        <w:rPr>
          <w:lang w:val="en-US"/>
        </w:rPr>
      </w:pPr>
    </w:p>
    <w:p w14:paraId="4CD131F8" w14:textId="1076CF4A" w:rsidR="00E96503" w:rsidRDefault="00E96503" w:rsidP="00751DF0">
      <w:pPr>
        <w:pStyle w:val="ListParagraph"/>
        <w:ind w:left="1800"/>
        <w:rPr>
          <w:lang w:val="en-US"/>
        </w:rPr>
      </w:pPr>
    </w:p>
    <w:p w14:paraId="5761E62E" w14:textId="77777777" w:rsidR="003F2DED" w:rsidRPr="00751DF0" w:rsidRDefault="00E96503" w:rsidP="00751DF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51DF0">
        <w:rPr>
          <w:b/>
          <w:bCs/>
          <w:lang w:val="en-US"/>
        </w:rPr>
        <w:t>APPLICATION</w:t>
      </w:r>
    </w:p>
    <w:p w14:paraId="62A83B9F" w14:textId="2725B892" w:rsidR="003F2DED" w:rsidRDefault="003F2DED" w:rsidP="00751DF0">
      <w:pPr>
        <w:ind w:left="360"/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</w:pPr>
      <w:r w:rsidRPr="003F2DED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>House price prediction can </w:t>
      </w:r>
      <w:r w:rsidRPr="003F2DED">
        <w:rPr>
          <w:rFonts w:ascii="Arial" w:eastAsia="Times New Roman" w:hAnsi="Arial" w:cs="Arial"/>
          <w:color w:val="040C28"/>
          <w:sz w:val="24"/>
          <w:szCs w:val="24"/>
          <w:lang w:val="en" w:eastAsia="en-IN"/>
        </w:rPr>
        <w:t>help the developer determine the selling price of a house and can help the customer to arrange the right time to purchase a house</w:t>
      </w:r>
      <w:r w:rsidRPr="003F2DED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>. There are three factors that influence the price of a house which include physical</w:t>
      </w:r>
      <w:r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 xml:space="preserve"> </w:t>
      </w:r>
      <w:r w:rsidRPr="003F2DED"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  <w:t>conditions, concept and location.</w:t>
      </w:r>
    </w:p>
    <w:p w14:paraId="18B2324B" w14:textId="074037B9" w:rsidR="003F2DED" w:rsidRDefault="003F2DED" w:rsidP="00751DF0">
      <w:pPr>
        <w:ind w:left="360"/>
        <w:rPr>
          <w:rFonts w:ascii="Arial" w:eastAsia="Times New Roman" w:hAnsi="Arial" w:cs="Arial"/>
          <w:color w:val="4D5156"/>
          <w:sz w:val="24"/>
          <w:szCs w:val="24"/>
          <w:lang w:val="en" w:eastAsia="en-IN"/>
        </w:rPr>
      </w:pPr>
    </w:p>
    <w:p w14:paraId="45A66AD4" w14:textId="55477016" w:rsidR="003F2DED" w:rsidRPr="00751DF0" w:rsidRDefault="003F2DED" w:rsidP="00751DF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51DF0">
        <w:rPr>
          <w:b/>
          <w:bCs/>
          <w:lang w:val="en-US"/>
        </w:rPr>
        <w:t>CONCLUSION</w:t>
      </w:r>
    </w:p>
    <w:p w14:paraId="1AC067E8" w14:textId="6D267C19" w:rsidR="003F2DED" w:rsidRDefault="003F2DED" w:rsidP="00751D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30"/>
          <w:szCs w:val="30"/>
          <w:lang w:val="en" w:eastAsia="en-IN"/>
        </w:rPr>
      </w:pPr>
      <w:r w:rsidRPr="003F2DED">
        <w:rPr>
          <w:rFonts w:ascii="Arial" w:eastAsia="Times New Roman" w:hAnsi="Arial" w:cs="Arial"/>
          <w:color w:val="202124"/>
          <w:sz w:val="30"/>
          <w:szCs w:val="30"/>
          <w:lang w:val="en" w:eastAsia="en-IN"/>
        </w:rPr>
        <w:t>Based on the criterion of price convergence, </w:t>
      </w:r>
      <w:r w:rsidRPr="003F2DED">
        <w:rPr>
          <w:rFonts w:ascii="Arial" w:eastAsia="Times New Roman" w:hAnsi="Arial" w:cs="Arial"/>
          <w:color w:val="040C28"/>
          <w:sz w:val="30"/>
          <w:szCs w:val="30"/>
          <w:lang w:val="en" w:eastAsia="en-IN"/>
        </w:rPr>
        <w:t>house prices in the 15 metropolitan cities do not converge to the LOOP</w:t>
      </w:r>
      <w:r w:rsidRPr="003F2DED">
        <w:rPr>
          <w:rFonts w:ascii="Arial" w:eastAsia="Times New Roman" w:hAnsi="Arial" w:cs="Arial"/>
          <w:color w:val="202124"/>
          <w:sz w:val="30"/>
          <w:szCs w:val="30"/>
          <w:lang w:val="en" w:eastAsia="en-IN"/>
        </w:rPr>
        <w:t>. This implies that the housing markets in the different areas operate as segmented independent local markets.</w:t>
      </w:r>
    </w:p>
    <w:p w14:paraId="30D06301" w14:textId="4572EC0A" w:rsidR="003F2DED" w:rsidRDefault="003F2DED" w:rsidP="00751D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30"/>
          <w:szCs w:val="30"/>
          <w:lang w:val="en" w:eastAsia="en-IN"/>
        </w:rPr>
      </w:pPr>
    </w:p>
    <w:p w14:paraId="64D60AD5" w14:textId="026A66FF" w:rsidR="003F2DED" w:rsidRDefault="003F2DED" w:rsidP="00751D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30"/>
          <w:szCs w:val="30"/>
          <w:lang w:val="en" w:eastAsia="en-IN"/>
        </w:rPr>
      </w:pPr>
    </w:p>
    <w:p w14:paraId="46FE0167" w14:textId="2C282617" w:rsidR="003F2DED" w:rsidRPr="00751DF0" w:rsidRDefault="003F2DED" w:rsidP="00751DF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02124"/>
          <w:sz w:val="21"/>
          <w:szCs w:val="21"/>
          <w:lang w:eastAsia="en-IN"/>
        </w:rPr>
      </w:pPr>
      <w:r w:rsidRPr="00751DF0">
        <w:rPr>
          <w:rFonts w:ascii="Arial" w:eastAsia="Times New Roman" w:hAnsi="Arial" w:cs="Arial"/>
          <w:b/>
          <w:bCs/>
          <w:color w:val="202124"/>
          <w:sz w:val="21"/>
          <w:szCs w:val="21"/>
          <w:lang w:eastAsia="en-IN"/>
        </w:rPr>
        <w:t>7 FUTURE SCOPE</w:t>
      </w:r>
    </w:p>
    <w:p w14:paraId="4827B0D9" w14:textId="6F1A7632" w:rsidR="003F2DED" w:rsidRPr="003F2DED" w:rsidRDefault="003F2DED" w:rsidP="00751DF0">
      <w:pPr>
        <w:shd w:val="clear" w:color="auto" w:fill="FFFFFF"/>
        <w:spacing w:after="0" w:line="240" w:lineRule="auto"/>
        <w:rPr>
          <w:rFonts w:ascii="Arial" w:hAnsi="Arial" w:cs="Arial"/>
          <w:color w:val="70757A"/>
          <w:sz w:val="18"/>
          <w:szCs w:val="18"/>
          <w:shd w:val="clear" w:color="auto" w:fill="FFFFFF"/>
        </w:rPr>
      </w:pPr>
      <w:hyperlink r:id="rId22" w:history="1">
        <w:r w:rsidRPr="003F2DED">
          <w:rPr>
            <w:rFonts w:ascii="Arial" w:eastAsia="Times New Roman" w:hAnsi="Arial" w:cs="Arial"/>
            <w:color w:val="1A0DAB"/>
            <w:sz w:val="24"/>
            <w:szCs w:val="24"/>
            <w:lang w:val="en" w:eastAsia="en-IN"/>
          </w:rPr>
          <w:br/>
        </w:r>
      </w:hyperlink>
      <w:r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ab/>
      </w:r>
      <w:r>
        <w:rPr>
          <w:rStyle w:val="hgkelc"/>
          <w:rFonts w:ascii="Arial" w:hAnsi="Arial" w:cs="Arial"/>
          <w:color w:val="4D5156"/>
          <w:sz w:val="27"/>
          <w:szCs w:val="27"/>
          <w:shd w:val="clear" w:color="auto" w:fill="FFFFFF"/>
          <w:lang w:val="en"/>
        </w:rPr>
        <w:t>Remarkably, even with the influx of new properties, prices in primary economic hotspots are skyrocketing. </w:t>
      </w:r>
      <w:r>
        <w:rPr>
          <w:rStyle w:val="hgkelc"/>
          <w:rFonts w:ascii="Arial" w:hAnsi="Arial" w:cs="Arial"/>
          <w:color w:val="040C28"/>
          <w:sz w:val="27"/>
          <w:szCs w:val="27"/>
          <w:shd w:val="clear" w:color="auto" w:fill="FFFFFF"/>
          <w:lang w:val="en"/>
        </w:rPr>
        <w:t>The ISB – Housing.com Housing Price Index (HPI) shows an increase of 7.21% in property prices during Q2 2023</w:t>
      </w:r>
      <w:r>
        <w:rPr>
          <w:rStyle w:val="hgkelc"/>
          <w:rFonts w:ascii="Arial" w:hAnsi="Arial" w:cs="Arial"/>
          <w:color w:val="4D5156"/>
          <w:sz w:val="27"/>
          <w:szCs w:val="27"/>
          <w:shd w:val="clear" w:color="auto" w:fill="FFFFFF"/>
          <w:lang w:val="en"/>
        </w:rPr>
        <w:t>, a jump from both Q1 2023's 6.78% and Q2 2022's 2.83%.</w:t>
      </w:r>
    </w:p>
    <w:p w14:paraId="3CA9B311" w14:textId="77777777" w:rsidR="003F2DED" w:rsidRPr="003F2DED" w:rsidRDefault="003F2DED" w:rsidP="00751DF0">
      <w:pPr>
        <w:pStyle w:val="ListParagraph"/>
        <w:rPr>
          <w:lang w:val="en-US"/>
        </w:rPr>
      </w:pPr>
    </w:p>
    <w:p w14:paraId="55732653" w14:textId="77777777" w:rsidR="00E96503" w:rsidRPr="00E96503" w:rsidRDefault="00E96503" w:rsidP="00751DF0">
      <w:pPr>
        <w:pStyle w:val="ListParagraph"/>
        <w:rPr>
          <w:lang w:val="en-US"/>
        </w:rPr>
      </w:pPr>
    </w:p>
    <w:sectPr w:rsidR="00E96503" w:rsidRPr="00E96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02BFF"/>
    <w:multiLevelType w:val="hybridMultilevel"/>
    <w:tmpl w:val="42E83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400A8"/>
    <w:multiLevelType w:val="multilevel"/>
    <w:tmpl w:val="C096E6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2C6036A"/>
    <w:multiLevelType w:val="multilevel"/>
    <w:tmpl w:val="81505F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81C7DCF"/>
    <w:multiLevelType w:val="hybridMultilevel"/>
    <w:tmpl w:val="845AE2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EED02AA"/>
    <w:multiLevelType w:val="hybridMultilevel"/>
    <w:tmpl w:val="03482DDC"/>
    <w:lvl w:ilvl="0" w:tplc="3A8C77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476538">
    <w:abstractNumId w:val="2"/>
  </w:num>
  <w:num w:numId="2" w16cid:durableId="904532336">
    <w:abstractNumId w:val="1"/>
  </w:num>
  <w:num w:numId="3" w16cid:durableId="1596088728">
    <w:abstractNumId w:val="3"/>
  </w:num>
  <w:num w:numId="4" w16cid:durableId="763964609">
    <w:abstractNumId w:val="0"/>
  </w:num>
  <w:num w:numId="5" w16cid:durableId="18853664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42"/>
    <w:rsid w:val="000A6F1A"/>
    <w:rsid w:val="001C4F74"/>
    <w:rsid w:val="0030250D"/>
    <w:rsid w:val="003F2AE7"/>
    <w:rsid w:val="003F2DED"/>
    <w:rsid w:val="00571642"/>
    <w:rsid w:val="00751DF0"/>
    <w:rsid w:val="00761EE3"/>
    <w:rsid w:val="00C37B12"/>
    <w:rsid w:val="00DC7F32"/>
    <w:rsid w:val="00E9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E4C7"/>
  <w15:chartTrackingRefBased/>
  <w15:docId w15:val="{AF983661-6DA9-44A7-B80F-11CEB72B7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4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4F7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1C4F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C4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has-text-align-justify">
    <w:name w:val="has-text-align-justify"/>
    <w:basedOn w:val="Normal"/>
    <w:rsid w:val="00E96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6503"/>
    <w:rPr>
      <w:b/>
      <w:bCs/>
    </w:rPr>
  </w:style>
  <w:style w:type="character" w:customStyle="1" w:styleId="cskcde">
    <w:name w:val="cskcde"/>
    <w:basedOn w:val="DefaultParagraphFont"/>
    <w:rsid w:val="003F2DED"/>
  </w:style>
  <w:style w:type="character" w:customStyle="1" w:styleId="hgkelc">
    <w:name w:val="hgkelc"/>
    <w:basedOn w:val="DefaultParagraphFont"/>
    <w:rsid w:val="003F2DED"/>
  </w:style>
  <w:style w:type="character" w:customStyle="1" w:styleId="kx21rb">
    <w:name w:val="kx21rb"/>
    <w:basedOn w:val="DefaultParagraphFont"/>
    <w:rsid w:val="003F2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64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9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989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1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4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3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0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usc.es/economet/reviews/eers1311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M</dc:creator>
  <cp:keywords/>
  <dc:description/>
  <cp:lastModifiedBy>Vaishnavi M</cp:lastModifiedBy>
  <cp:revision>2</cp:revision>
  <dcterms:created xsi:type="dcterms:W3CDTF">2023-10-09T04:40:00Z</dcterms:created>
  <dcterms:modified xsi:type="dcterms:W3CDTF">2023-10-09T04:40:00Z</dcterms:modified>
</cp:coreProperties>
</file>