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60"/>
      </w:pPr>
      <w:r>
        <w:rPr>
          <w:rFonts w:ascii="Calibri" w:hAnsi="Calibri" w:eastAsia="Calibri"/>
          <w:b/>
          <w:color w:val="2E74B5"/>
          <w:sz w:val="20"/>
        </w:rPr>
        <w:t>OMS RELEASE VERIFICATION</w:t>
      </w:r>
    </w:p>
    <w:p>
      <w:pPr>
        <w:pStyle w:val="Title"/>
      </w:pPr>
      <w:r>
        <w:rPr>
          <w:rFonts w:ascii="Calibri" w:hAnsi="Calibri" w:eastAsia="Calibri"/>
          <w:b/>
          <w:color w:val="0B2545"/>
          <w:sz w:val="58"/>
        </w:rPr>
        <w:t>Post-Deployment Verification</w:t>
      </w:r>
    </w:p>
    <w:p>
      <w:pPr>
        <w:pStyle w:val="Subtitle"/>
      </w:pPr>
      <w:r>
        <w:rPr>
          <w:rFonts w:ascii="Calibri" w:hAnsi="Calibri" w:eastAsia="Calibri"/>
          <w:b/>
          <w:color w:val="1F4D78"/>
          <w:sz w:val="34"/>
        </w:rPr>
        <w:t>Final Test Guide</w:t>
      </w:r>
      <w:r>
        <w:rPr>
          <w:rFonts w:ascii="Calibri" w:hAnsi="Calibri" w:eastAsia="Calibri"/>
          <w:color w:val="596579"/>
          <w:sz w:val="25"/>
        </w:rPr>
        <w:br/>
        <w:t>Windows PowerShell 5.1 execution guide for July 30, 2026</w:t>
      </w:r>
    </w:p>
    <w:tbl>
      <w:tblPr>
        <w:tblW w:type="dxa" w:w="9360"/>
        <w:jc w:val="left"/>
        <w:tblLayout w:type="fixed"/>
        <w:tblLook w:firstColumn="1" w:firstRow="1" w:lastColumn="0" w:lastRow="0" w:noHBand="0" w:noVBand="1" w:val="04A0"/>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Pr>
      <w:tblGrid>
        <w:gridCol w:w="2600"/>
        <w:gridCol w:w="6760"/>
      </w:tblGrid>
      <w:tr>
        <w:trPr>
          <w:cantSplit/>
          <w:tblHeader w:val="true"/>
        </w:trPr>
        <w:tc>
          <w:tcPr>
            <w:tcW w:type="dxa" w:w="260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Document status</w:t>
            </w:r>
          </w:p>
        </w:tc>
        <w:tc>
          <w:tcPr>
            <w:tcW w:type="dxa" w:w="676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Validation basis</w:t>
            </w:r>
          </w:p>
        </w:tc>
      </w:tr>
      <w:tr>
        <w:trPr>
          <w:cantSplit/>
        </w:trPr>
        <w:tc>
          <w:tcPr>
            <w:tcW w:type="dxa" w:w="26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Accuracy checked and consolidated</w:t>
            </w:r>
          </w:p>
        </w:tc>
        <w:tc>
          <w:tcPr>
            <w:tcW w:type="dxa" w:w="67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Live repository commit dcd25338; reviewed July 29, 2026</w:t>
            </w:r>
          </w:p>
        </w:tc>
      </w:tr>
      <w:tr>
        <w:trPr>
          <w:cantSplit/>
        </w:trPr>
        <w:tc>
          <w:tcPr>
            <w:tcW w:type="dxa" w:w="26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Automated validation</w:t>
            </w:r>
          </w:p>
        </w:tc>
        <w:tc>
          <w:tcPr>
            <w:tcW w:type="dxa" w:w="67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Pester 6.0.1: 7 passed, 0 failed under Windows PowerShell 5.1</w:t>
            </w:r>
          </w:p>
        </w:tc>
      </w:tr>
      <w:tr>
        <w:trPr>
          <w:cantSplit/>
        </w:trPr>
        <w:tc>
          <w:tcPr>
            <w:tcW w:type="dxa" w:w="26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Audience</w:t>
            </w:r>
          </w:p>
        </w:tc>
        <w:tc>
          <w:tcPr>
            <w:tcW w:type="dxa" w:w="67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Testers, release owners, server owners, and operations</w:t>
            </w:r>
          </w:p>
        </w:tc>
      </w:tr>
    </w:tbl>
    <w:p>
      <w:pPr>
        <w:spacing w:before="0" w:after="140" w:line="168" w:lineRule="auto"/>
      </w:pPr>
    </w:p>
    <w:p>
      <w:pPr>
        <w:spacing w:before="80" w:after="160" w:line="276" w:lineRule="auto"/>
        <w:ind w:left="173" w:right="115"/>
        <w:shd w:fill="EAF4EE" w:val="clear"/>
        <w:pBdr>
          <w:left w:val="single" w:sz="18" w:space="10" w:color="2F6B45"/>
        </w:pBdr>
      </w:pPr>
      <w:r>
        <w:rPr>
          <w:rFonts w:ascii="Calibri" w:hAnsi="Calibri" w:eastAsia="Calibri"/>
          <w:b/>
          <w:color w:val="0B2545"/>
          <w:sz w:val="21"/>
        </w:rPr>
        <w:t xml:space="preserve">Tomorrow's normal path: </w:t>
      </w:r>
      <w:r>
        <w:rPr>
          <w:rFonts w:ascii="Calibri" w:hAnsi="Calibri" w:eastAsia="Calibri"/>
          <w:color w:val="0B2545"/>
          <w:sz w:val="21"/>
        </w:rPr>
        <w:t>Workstation tests -&gt; per-processor preflight -&gt; approved UAT capture -&gt; target file verification -&gt; config verification when in scope -&gt; health check. Record the exit code after every command. Any non-zero result stops the run.</w:t>
      </w:r>
    </w:p>
    <w:p>
      <w:pPr>
        <w:spacing w:before="80" w:after="160" w:line="276" w:lineRule="auto"/>
        <w:ind w:left="173" w:right="115"/>
        <w:shd w:fill="FDECEC" w:val="clear"/>
        <w:pBdr>
          <w:left w:val="single" w:sz="18" w:space="10" w:color="9B1C1C"/>
        </w:pBdr>
      </w:pPr>
      <w:r>
        <w:rPr>
          <w:rFonts w:ascii="Calibri" w:hAnsi="Calibri" w:eastAsia="Calibri"/>
          <w:b/>
          <w:color w:val="0B2545"/>
          <w:sz w:val="21"/>
        </w:rPr>
        <w:t xml:space="preserve">Current hold: </w:t>
      </w:r>
      <w:r>
        <w:rPr>
          <w:rFonts w:ascii="Calibri" w:hAnsi="Calibri" w:eastAsia="Calibri"/>
          <w:color w:val="0B2545"/>
          <w:sz w:val="21"/>
        </w:rPr>
        <w:t>Do not run scheduled drift as coverage proof and do not perform a production deployment from this guide. The checked-in inventory is incomplete, Citrix targets and production paths are still pending, and production config-copy handling has not been resolved.</w:t>
      </w:r>
    </w:p>
    <w:p>
      <w:r>
        <w:rPr>
          <w:rFonts w:ascii="Calibri" w:hAnsi="Calibri" w:eastAsia="Calibri"/>
          <w:i/>
          <w:color w:val="0B2545"/>
          <w:sz w:val="22"/>
        </w:rPr>
        <w:t>This copy replaces three overlapping runbooks in the source document. It keeps one authoritative command path and separates operations-only work from the normal tester flow.</w:t>
      </w:r>
    </w:p>
    <w:p>
      <w:r>
        <w:rPr>
          <w:rFonts w:ascii="Calibri" w:hAnsi="Calibri" w:eastAsia="Calibri"/>
          <w:color w:val="0B2545"/>
          <w:sz w:val="22"/>
        </w:rPr>
        <w:br w:type="page"/>
      </w:r>
    </w:p>
    <w:p>
      <w:pPr>
        <w:pStyle w:val="Heading1"/>
        <w:keepNext/>
        <w:pageBreakBefore w:val="0"/>
      </w:pPr>
      <w:r>
        <w:rPr>
          <w:rFonts w:ascii="Calibri" w:hAnsi="Calibri" w:eastAsia="Calibri"/>
          <w:color w:val="0B2545"/>
          <w:sz w:val="22"/>
        </w:rPr>
        <w:t>1. Read this before the test</w:t>
      </w:r>
    </w:p>
    <w:p>
      <w:r>
        <w:rPr>
          <w:rFonts w:ascii="Calibri" w:hAnsi="Calibri" w:eastAsia="Calibri"/>
          <w:b/>
          <w:color w:val="0B2545"/>
          <w:sz w:val="22"/>
        </w:rPr>
        <w:t>Purpose:</w:t>
      </w:r>
      <w:r>
        <w:rPr>
          <w:rFonts w:ascii="Calibri" w:hAnsi="Calibri" w:eastAsia="Calibri"/>
          <w:i w:val="0"/>
          <w:color w:val="0B2545"/>
          <w:sz w:val="22"/>
        </w:rPr>
        <w:t xml:space="preserve"> prove that the target files match the UAT-approved release, verify configuration when a contract exists, and confirm that the required process, task, log, or endpoint health probes pass.</w:t>
      </w:r>
    </w:p>
    <w:p>
      <w:pPr>
        <w:pStyle w:val="Heading2"/>
        <w:keepNext/>
        <w:pageBreakBefore w:val="0"/>
      </w:pPr>
      <w:r>
        <w:rPr>
          <w:rFonts w:ascii="Calibri" w:hAnsi="Calibri" w:eastAsia="Calibri"/>
          <w:color w:val="0B2545"/>
          <w:sz w:val="22"/>
        </w:rPr>
        <w:t>Non-negotiable rules</w:t>
      </w:r>
    </w:p>
    <w:p>
      <w:pPr>
        <w:numPr>
          <w:ilvl w:val="0"/>
          <w:numId w:val="11"/>
        </w:numPr>
        <w:spacing w:after="80" w:line="300" w:lineRule="auto"/>
      </w:pPr>
      <w:r>
        <w:rPr>
          <w:rFonts w:ascii="Calibri" w:hAnsi="Calibri" w:eastAsia="Calibri"/>
          <w:color w:val="0B2545"/>
          <w:sz w:val="22"/>
        </w:rPr>
        <w:t>Use Windows PowerShell 5.1 (powershell.exe), not PowerShell 7.</w:t>
      </w:r>
    </w:p>
    <w:p>
      <w:pPr>
        <w:numPr>
          <w:ilvl w:val="0"/>
          <w:numId w:val="11"/>
        </w:numPr>
        <w:spacing w:after="80" w:line="300" w:lineRule="auto"/>
      </w:pPr>
      <w:r>
        <w:rPr>
          <w:rFonts w:ascii="Calibri" w:hAnsi="Calibri" w:eastAsia="Calibri"/>
          <w:color w:val="0B2545"/>
          <w:sz w:val="22"/>
        </w:rPr>
        <w:t>Only exit code 0 is a pass. Record it before running the next step.</w:t>
      </w:r>
    </w:p>
    <w:p>
      <w:pPr>
        <w:numPr>
          <w:ilvl w:val="0"/>
          <w:numId w:val="11"/>
        </w:numPr>
        <w:spacing w:after="80" w:line="300" w:lineRule="auto"/>
      </w:pPr>
      <w:r>
        <w:rPr>
          <w:rFonts w:ascii="Calibri" w:hAnsi="Calibri" w:eastAsia="Calibri"/>
          <w:color w:val="0B2545"/>
          <w:sz w:val="22"/>
        </w:rPr>
        <w:t>Replace every REPLACE_WITH_ value with a confirmed value before execution.</w:t>
      </w:r>
    </w:p>
    <w:p>
      <w:pPr>
        <w:numPr>
          <w:ilvl w:val="0"/>
          <w:numId w:val="11"/>
        </w:numPr>
        <w:spacing w:after="80" w:line="300" w:lineRule="auto"/>
      </w:pPr>
      <w:r>
        <w:rPr>
          <w:rFonts w:ascii="Calibri" w:hAnsi="Calibri" w:eastAsia="Calibri"/>
          <w:color w:val="0B2545"/>
          <w:sz w:val="22"/>
        </w:rPr>
        <w:t>Run UAT capture only after UAT approval and with the release owner present.</w:t>
      </w:r>
    </w:p>
    <w:p>
      <w:pPr>
        <w:numPr>
          <w:ilvl w:val="0"/>
          <w:numId w:val="11"/>
        </w:numPr>
        <w:spacing w:after="80" w:line="300" w:lineRule="auto"/>
      </w:pPr>
      <w:r>
        <w:rPr>
          <w:rFonts w:ascii="Calibri" w:hAnsi="Calibri" w:eastAsia="Calibri"/>
          <w:color w:val="0B2545"/>
          <w:sz w:val="22"/>
        </w:rPr>
        <w:t>Run target or production checks only with the required access and approval.</w:t>
      </w:r>
    </w:p>
    <w:p>
      <w:pPr>
        <w:numPr>
          <w:ilvl w:val="0"/>
          <w:numId w:val="11"/>
        </w:numPr>
        <w:spacing w:after="80" w:line="300" w:lineRule="auto"/>
      </w:pPr>
      <w:r>
        <w:rPr>
          <w:rFonts w:ascii="Calibri" w:hAnsi="Calibri" w:eastAsia="Calibri"/>
          <w:color w:val="0B2545"/>
          <w:sz w:val="22"/>
        </w:rPr>
        <w:t>Never paste passwords, tokens, connection strings, or raw SSM values into notes.</w:t>
      </w:r>
    </w:p>
    <w:p>
      <w:pPr>
        <w:numPr>
          <w:ilvl w:val="0"/>
          <w:numId w:val="11"/>
        </w:numPr>
        <w:spacing w:after="80" w:line="300" w:lineRule="auto"/>
      </w:pPr>
      <w:r>
        <w:rPr>
          <w:rFonts w:ascii="Calibri" w:hAnsi="Calibri" w:eastAsia="Calibri"/>
          <w:color w:val="0B2545"/>
          <w:sz w:val="22"/>
        </w:rPr>
        <w:t>If a command, path, region, task name, or owner is uncertain, stop and ask.</w:t>
      </w:r>
    </w:p>
    <w:p>
      <w:pPr>
        <w:pStyle w:val="Heading2"/>
        <w:keepNext/>
        <w:pageBreakBefore w:val="0"/>
      </w:pPr>
      <w:r>
        <w:rPr>
          <w:rFonts w:ascii="Calibri" w:hAnsi="Calibri" w:eastAsia="Calibri"/>
          <w:color w:val="0B2545"/>
          <w:sz w:val="22"/>
        </w:rPr>
        <w:t>Exit code contract</w:t>
      </w:r>
    </w:p>
    <w:tbl>
      <w:tblPr>
        <w:tblW w:type="dxa" w:w="9360"/>
        <w:jc w:val="left"/>
        <w:tblLayout w:type="fixed"/>
        <w:tblLook w:firstColumn="1" w:firstRow="1" w:lastColumn="0" w:lastRow="0" w:noHBand="0" w:noVBand="1" w:val="04A0"/>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Pr>
      <w:tblGrid>
        <w:gridCol w:w="720"/>
        <w:gridCol w:w="1100"/>
        <w:gridCol w:w="4240"/>
        <w:gridCol w:w="3300"/>
      </w:tblGrid>
      <w:tr>
        <w:trPr>
          <w:cantSplit/>
          <w:tblHeader w:val="true"/>
        </w:trPr>
        <w:tc>
          <w:tcPr>
            <w:tcW w:type="dxa" w:w="72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Code</w:t>
            </w:r>
          </w:p>
        </w:tc>
        <w:tc>
          <w:tcPr>
            <w:tcW w:type="dxa" w:w="110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Outcome</w:t>
            </w:r>
          </w:p>
        </w:tc>
        <w:tc>
          <w:tcPr>
            <w:tcW w:type="dxa" w:w="424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Meaning</w:t>
            </w:r>
          </w:p>
        </w:tc>
        <w:tc>
          <w:tcPr>
            <w:tcW w:type="dxa" w:w="330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Required action</w:t>
            </w:r>
          </w:p>
        </w:tc>
      </w:tr>
      <w:tr>
        <w:trPr>
          <w:cantSplit/>
        </w:trPr>
        <w:tc>
          <w:tcPr>
            <w:tcW w:type="dxa" w:w="72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0</w:t>
            </w:r>
          </w:p>
        </w:tc>
        <w:tc>
          <w:tcPr>
            <w:tcW w:type="dxa" w:w="11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PASS</w:t>
            </w:r>
          </w:p>
        </w:tc>
        <w:tc>
          <w:tcPr>
            <w:tcW w:type="dxa" w:w="424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The requested check completed successfully.</w:t>
            </w:r>
          </w:p>
        </w:tc>
        <w:tc>
          <w:tcPr>
            <w:tcW w:type="dxa" w:w="33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Record and continue.</w:t>
            </w:r>
          </w:p>
        </w:tc>
      </w:tr>
      <w:tr>
        <w:trPr>
          <w:cantSplit/>
        </w:trPr>
        <w:tc>
          <w:tcPr>
            <w:tcW w:type="dxa" w:w="72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1</w:t>
            </w:r>
          </w:p>
        </w:tc>
        <w:tc>
          <w:tcPr>
            <w:tcW w:type="dxa" w:w="11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FAIL</w:t>
            </w:r>
          </w:p>
        </w:tc>
        <w:tc>
          <w:tcPr>
            <w:tcW w:type="dxa" w:w="424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File or configuration drift was found.</w:t>
            </w:r>
          </w:p>
        </w:tc>
        <w:tc>
          <w:tcPr>
            <w:tcW w:type="dxa" w:w="33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Stop and escalate.</w:t>
            </w:r>
          </w:p>
        </w:tc>
      </w:tr>
      <w:tr>
        <w:trPr>
          <w:cantSplit/>
        </w:trPr>
        <w:tc>
          <w:tcPr>
            <w:tcW w:type="dxa" w:w="72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2</w:t>
            </w:r>
          </w:p>
        </w:tc>
        <w:tc>
          <w:tcPr>
            <w:tcW w:type="dxa" w:w="11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ERROR</w:t>
            </w:r>
          </w:p>
        </w:tc>
        <w:tc>
          <w:tcPr>
            <w:tcW w:type="dxa" w:w="424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Trust, baseline, inventory, access, or runtime failed.</w:t>
            </w:r>
          </w:p>
        </w:tc>
        <w:tc>
          <w:tcPr>
            <w:tcW w:type="dxa" w:w="33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Stop and escalate.</w:t>
            </w:r>
          </w:p>
        </w:tc>
      </w:tr>
      <w:tr>
        <w:trPr>
          <w:cantSplit/>
        </w:trPr>
        <w:tc>
          <w:tcPr>
            <w:tcW w:type="dxa" w:w="72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3</w:t>
            </w:r>
          </w:p>
        </w:tc>
        <w:tc>
          <w:tcPr>
            <w:tcW w:type="dxa" w:w="11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FAIL</w:t>
            </w:r>
          </w:p>
        </w:tc>
        <w:tc>
          <w:tcPr>
            <w:tcW w:type="dxa" w:w="424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One or more health probes failed.</w:t>
            </w:r>
          </w:p>
        </w:tc>
        <w:tc>
          <w:tcPr>
            <w:tcW w:type="dxa" w:w="33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Stop and escalate.</w:t>
            </w:r>
          </w:p>
        </w:tc>
      </w:tr>
      <w:tr>
        <w:trPr>
          <w:cantSplit/>
        </w:trPr>
        <w:tc>
          <w:tcPr>
            <w:tcW w:type="dxa" w:w="72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10</w:t>
            </w:r>
          </w:p>
        </w:tc>
        <w:tc>
          <w:tcPr>
            <w:tcW w:type="dxa" w:w="11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ERROR</w:t>
            </w:r>
          </w:p>
        </w:tc>
        <w:tc>
          <w:tcPr>
            <w:tcW w:type="dxa" w:w="424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The command was incomplete or unsafe.</w:t>
            </w:r>
          </w:p>
        </w:tc>
        <w:tc>
          <w:tcPr>
            <w:tcW w:type="dxa" w:w="33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Correct inputs; do not continue until resolved.</w:t>
            </w:r>
          </w:p>
        </w:tc>
      </w:tr>
    </w:tbl>
    <w:p>
      <w:pPr>
        <w:spacing w:before="0" w:after="140" w:line="168" w:lineRule="auto"/>
      </w:pPr>
    </w:p>
    <w:p>
      <w:pPr>
        <w:spacing w:before="80" w:after="160" w:line="276" w:lineRule="auto"/>
        <w:ind w:left="173" w:right="115"/>
        <w:shd w:fill="FFF4CC" w:val="clear"/>
        <w:pBdr>
          <w:left w:val="single" w:sz="18" w:space="10" w:color="B7791F"/>
        </w:pBdr>
      </w:pPr>
      <w:r>
        <w:rPr>
          <w:rFonts w:ascii="Calibri" w:hAnsi="Calibri" w:eastAsia="Calibri"/>
          <w:b/>
          <w:color w:val="0B2545"/>
          <w:sz w:val="21"/>
        </w:rPr>
        <w:t xml:space="preserve">Important: </w:t>
      </w:r>
      <w:r>
        <w:rPr>
          <w:rFonts w:ascii="Calibri" w:hAnsi="Calibri" w:eastAsia="Calibri"/>
          <w:color w:val="0B2545"/>
          <w:sz w:val="21"/>
        </w:rPr>
        <w:t>A missing baseline, incomplete inventory, empty health probe, or dead check is never a pass. Warning-only preflight findings may still return 0; read and record the warnings before proceeding.</w:t>
      </w:r>
    </w:p>
    <w:p>
      <w:pPr>
        <w:pStyle w:val="Heading2"/>
        <w:keepNext/>
        <w:pageBreakBefore w:val="0"/>
      </w:pPr>
      <w:r>
        <w:rPr>
          <w:rFonts w:ascii="Calibri" w:hAnsi="Calibri" w:eastAsia="Calibri"/>
          <w:color w:val="0B2545"/>
          <w:sz w:val="22"/>
        </w:rPr>
        <w:t>Current repository limits</w:t>
      </w:r>
    </w:p>
    <w:p>
      <w:pPr>
        <w:numPr>
          <w:ilvl w:val="0"/>
          <w:numId w:val="10"/>
        </w:numPr>
        <w:spacing w:after="80" w:line="300" w:lineRule="auto"/>
      </w:pPr>
      <w:r>
        <w:rPr>
          <w:rFonts w:ascii="Calibri" w:hAnsi="Calibri" w:eastAsia="Calibri"/>
          <w:color w:val="0B2545"/>
          <w:sz w:val="22"/>
        </w:rPr>
        <w:t>targets.json is intentionally inventoryComplete=false and contains unconfirmed values.</w:t>
      </w:r>
    </w:p>
    <w:p>
      <w:pPr>
        <w:numPr>
          <w:ilvl w:val="0"/>
          <w:numId w:val="10"/>
        </w:numPr>
        <w:spacing w:after="80" w:line="300" w:lineRule="auto"/>
      </w:pPr>
      <w:r>
        <w:rPr>
          <w:rFonts w:ascii="Calibri" w:hAnsi="Calibri" w:eastAsia="Calibri"/>
          <w:color w:val="0B2545"/>
          <w:sz w:val="22"/>
        </w:rPr>
        <w:t>Citrix server names and production processor paths are not yet documented.</w:t>
      </w:r>
    </w:p>
    <w:p>
      <w:pPr>
        <w:numPr>
          <w:ilvl w:val="0"/>
          <w:numId w:val="10"/>
        </w:numPr>
        <w:spacing w:after="80" w:line="300" w:lineRule="auto"/>
      </w:pPr>
      <w:r>
        <w:rPr>
          <w:rFonts w:ascii="Calibri" w:hAnsi="Calibri" w:eastAsia="Calibri"/>
          <w:color w:val="0B2545"/>
          <w:sz w:val="22"/>
        </w:rPr>
        <w:t>Datadog telemetry push is disabled. Exit codes and JSONL logs are the only current signal.</w:t>
      </w:r>
    </w:p>
    <w:p>
      <w:pPr>
        <w:numPr>
          <w:ilvl w:val="0"/>
          <w:numId w:val="10"/>
        </w:numPr>
        <w:spacing w:after="80" w:line="300" w:lineRule="auto"/>
      </w:pPr>
      <w:r>
        <w:rPr>
          <w:rFonts w:ascii="Calibri" w:hAnsi="Calibri" w:eastAsia="Calibri"/>
          <w:color w:val="0B2545"/>
          <w:sz w:val="22"/>
        </w:rPr>
        <w:t>The UAT DBQ deploy wrapper still requires task and log values to be confirmed from the runbook.</w:t>
      </w:r>
    </w:p>
    <w:p>
      <w:pPr>
        <w:numPr>
          <w:ilvl w:val="0"/>
          <w:numId w:val="10"/>
        </w:numPr>
        <w:spacing w:after="80" w:line="300" w:lineRule="auto"/>
      </w:pPr>
      <w:r>
        <w:rPr>
          <w:rFonts w:ascii="Calibri" w:hAnsi="Calibri" w:eastAsia="Calibri"/>
          <w:color w:val="0B2545"/>
          <w:sz w:val="22"/>
        </w:rPr>
        <w:t>Production deploy config handling is unresolved because robocopy /MIR can overwrite environment-specific config.</w:t>
      </w:r>
    </w:p>
    <w:p>
      <w:pPr>
        <w:numPr>
          <w:ilvl w:val="0"/>
          <w:numId w:val="10"/>
        </w:numPr>
        <w:spacing w:after="80" w:line="300" w:lineRule="auto"/>
      </w:pPr>
      <w:r>
        <w:rPr>
          <w:rFonts w:ascii="Calibri" w:hAnsi="Calibri" w:eastAsia="Calibri"/>
          <w:color w:val="0B2545"/>
          <w:sz w:val="22"/>
        </w:rPr>
        <w:t>Use the per-processor preflight in this guide. Do not use the checked-in bulk target inventory as a go/no-go result.</w:t>
      </w:r>
    </w:p>
    <w:p>
      <w:r>
        <w:rPr>
          <w:rFonts w:ascii="Calibri" w:hAnsi="Calibri" w:eastAsia="Calibri"/>
          <w:color w:val="0B2545"/>
          <w:sz w:val="22"/>
        </w:rPr>
        <w:br w:type="page"/>
      </w:r>
    </w:p>
    <w:p>
      <w:pPr>
        <w:pStyle w:val="Heading1"/>
        <w:keepNext/>
        <w:pageBreakBefore w:val="0"/>
      </w:pPr>
      <w:r>
        <w:rPr>
          <w:rFonts w:ascii="Calibri" w:hAnsi="Calibri" w:eastAsia="Calibri"/>
          <w:color w:val="0B2545"/>
          <w:sz w:val="22"/>
        </w:rPr>
        <w:t>2. Values worksheet</w:t>
      </w:r>
    </w:p>
    <w:p>
      <w:r>
        <w:rPr>
          <w:rFonts w:ascii="Calibri" w:hAnsi="Calibri" w:eastAsia="Calibri"/>
          <w:i w:val="0"/>
          <w:color w:val="0B2545"/>
          <w:sz w:val="22"/>
        </w:rPr>
        <w:t>Complete this worksheet from the release runbook, SERVERS.md, the change ticket, and the release owner. Do not invent values. Blank or placeholder values stop the run.</w:t>
      </w:r>
    </w:p>
    <w:tbl>
      <w:tblPr>
        <w:tblW w:type="dxa" w:w="9360"/>
        <w:jc w:val="left"/>
        <w:tblLayout w:type="fixed"/>
        <w:tblLook w:firstColumn="1" w:firstRow="1" w:lastColumn="0" w:lastRow="0" w:noHBand="0" w:noVBand="1" w:val="04A0"/>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Pr>
      <w:tblGrid>
        <w:gridCol w:w="3500"/>
        <w:gridCol w:w="2900"/>
        <w:gridCol w:w="2960"/>
      </w:tblGrid>
      <w:tr>
        <w:trPr>
          <w:cantSplit/>
          <w:tblHeader w:val="true"/>
        </w:trPr>
        <w:tc>
          <w:tcPr>
            <w:tcW w:type="dxa" w:w="350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Required value</w:t>
            </w:r>
          </w:p>
        </w:tc>
        <w:tc>
          <w:tcPr>
            <w:tcW w:type="dxa" w:w="290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Authoritative source</w:t>
            </w:r>
          </w:p>
        </w:tc>
        <w:tc>
          <w:tcPr>
            <w:tcW w:type="dxa" w:w="296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Confirmed value</w:t>
            </w:r>
          </w:p>
        </w:tc>
      </w:tr>
      <w:tr>
        <w:trPr>
          <w:cantSplit/>
        </w:trPr>
        <w:tc>
          <w:tcPr>
            <w:tcW w:type="dxa" w:w="35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Processor name</w:t>
            </w:r>
          </w:p>
        </w:tc>
        <w:tc>
          <w:tcPr>
            <w:tcW w:type="dxa" w:w="29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Release owner / runbook</w:t>
            </w:r>
          </w:p>
        </w:tc>
        <w:tc>
          <w:tcPr>
            <w:tcW w:type="dxa" w:w="29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r>
          </w:p>
        </w:tc>
      </w:tr>
      <w:tr>
        <w:trPr>
          <w:cantSplit/>
        </w:trPr>
        <w:tc>
          <w:tcPr>
            <w:tcW w:type="dxa" w:w="35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Approved commit or TFS label</w:t>
            </w:r>
          </w:p>
        </w:tc>
        <w:tc>
          <w:tcPr>
            <w:tcW w:type="dxa" w:w="29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Release owner</w:t>
            </w:r>
          </w:p>
        </w:tc>
        <w:tc>
          <w:tcPr>
            <w:tcW w:type="dxa" w:w="29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r>
          </w:p>
        </w:tc>
      </w:tr>
      <w:tr>
        <w:trPr>
          <w:cantSplit/>
        </w:trPr>
        <w:tc>
          <w:tcPr>
            <w:tcW w:type="dxa" w:w="35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Approved-commit SSM parameter</w:t>
            </w:r>
          </w:p>
        </w:tc>
        <w:tc>
          <w:tcPr>
            <w:tcW w:type="dxa" w:w="29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Release owner / cloud owner</w:t>
            </w:r>
          </w:p>
        </w:tc>
        <w:tc>
          <w:tcPr>
            <w:tcW w:type="dxa" w:w="29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r>
          </w:p>
        </w:tc>
      </w:tr>
      <w:tr>
        <w:trPr>
          <w:cantSplit/>
        </w:trPr>
        <w:tc>
          <w:tcPr>
            <w:tcW w:type="dxa" w:w="35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Baseline-hash SSM parameter</w:t>
            </w:r>
          </w:p>
        </w:tc>
        <w:tc>
          <w:tcPr>
            <w:tcW w:type="dxa" w:w="29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Release owner / cloud owner</w:t>
            </w:r>
          </w:p>
        </w:tc>
        <w:tc>
          <w:tcPr>
            <w:tcW w:type="dxa" w:w="29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r>
          </w:p>
        </w:tc>
      </w:tr>
      <w:tr>
        <w:trPr>
          <w:cantSplit/>
        </w:trPr>
        <w:tc>
          <w:tcPr>
            <w:tcW w:type="dxa" w:w="35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Confirmed GovCloud region</w:t>
            </w:r>
          </w:p>
        </w:tc>
        <w:tc>
          <w:tcPr>
            <w:tcW w:type="dxa" w:w="29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Parameter path owner</w:t>
            </w:r>
          </w:p>
        </w:tc>
        <w:tc>
          <w:tcPr>
            <w:tcW w:type="dxa" w:w="29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r>
          </w:p>
        </w:tc>
      </w:tr>
      <w:tr>
        <w:trPr>
          <w:cantSplit/>
        </w:trPr>
        <w:tc>
          <w:tcPr>
            <w:tcW w:type="dxa" w:w="35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UAT approved release folder</w:t>
            </w:r>
          </w:p>
        </w:tc>
        <w:tc>
          <w:tcPr>
            <w:tcW w:type="dxa" w:w="29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UAT runbook</w:t>
            </w:r>
          </w:p>
        </w:tc>
        <w:tc>
          <w:tcPr>
            <w:tcW w:type="dxa" w:w="29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r>
          </w:p>
        </w:tc>
      </w:tr>
      <w:tr>
        <w:trPr>
          <w:cantSplit/>
        </w:trPr>
        <w:tc>
          <w:tcPr>
            <w:tcW w:type="dxa" w:w="35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Target release folder</w:t>
            </w:r>
          </w:p>
        </w:tc>
        <w:tc>
          <w:tcPr>
            <w:tcW w:type="dxa" w:w="29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Server runbook</w:t>
            </w:r>
          </w:p>
        </w:tc>
        <w:tc>
          <w:tcPr>
            <w:tcW w:type="dxa" w:w="29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r>
          </w:p>
        </w:tc>
      </w:tr>
      <w:tr>
        <w:trPr>
          <w:cantSplit/>
        </w:trPr>
        <w:tc>
          <w:tcPr>
            <w:tcW w:type="dxa" w:w="35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Baseline manifest path</w:t>
            </w:r>
          </w:p>
        </w:tc>
        <w:tc>
          <w:tcPr>
            <w:tcW w:type="dxa" w:w="29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Release owner</w:t>
            </w:r>
          </w:p>
        </w:tc>
        <w:tc>
          <w:tcPr>
            <w:tcW w:type="dxa" w:w="29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r>
          </w:p>
        </w:tc>
      </w:tr>
      <w:tr>
        <w:trPr>
          <w:cantSplit/>
        </w:trPr>
        <w:tc>
          <w:tcPr>
            <w:tcW w:type="dxa" w:w="35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Baseline Git checkout</w:t>
            </w:r>
          </w:p>
        </w:tc>
        <w:tc>
          <w:tcPr>
            <w:tcW w:type="dxa" w:w="29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Release owner</w:t>
            </w:r>
          </w:p>
        </w:tc>
        <w:tc>
          <w:tcPr>
            <w:tcW w:type="dxa" w:w="29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r>
          </w:p>
        </w:tc>
      </w:tr>
      <w:tr>
        <w:trPr>
          <w:cantSplit/>
        </w:trPr>
        <w:tc>
          <w:tcPr>
            <w:tcW w:type="dxa" w:w="35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Release tag: &lt;system&gt;/vMAJOR.MINOR.PATCH</w:t>
            </w:r>
          </w:p>
        </w:tc>
        <w:tc>
          <w:tcPr>
            <w:tcW w:type="dxa" w:w="29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Release owner</w:t>
            </w:r>
          </w:p>
        </w:tc>
        <w:tc>
          <w:tcPr>
            <w:tcW w:type="dxa" w:w="29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r>
          </w:p>
        </w:tc>
      </w:tr>
      <w:tr>
        <w:trPr>
          <w:cantSplit/>
        </w:trPr>
        <w:tc>
          <w:tcPr>
            <w:tcW w:type="dxa" w:w="35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Config contract path (if used)</w:t>
            </w:r>
          </w:p>
        </w:tc>
        <w:tc>
          <w:tcPr>
            <w:tcW w:type="dxa" w:w="29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Release owner</w:t>
            </w:r>
          </w:p>
        </w:tc>
        <w:tc>
          <w:tcPr>
            <w:tcW w:type="dxa" w:w="29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r>
          </w:p>
        </w:tc>
      </w:tr>
      <w:tr>
        <w:trPr>
          <w:cantSplit/>
        </w:trPr>
        <w:tc>
          <w:tcPr>
            <w:tcW w:type="dxa" w:w="35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Live config path (if used)</w:t>
            </w:r>
          </w:p>
        </w:tc>
        <w:tc>
          <w:tcPr>
            <w:tcW w:type="dxa" w:w="29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Server owner</w:t>
            </w:r>
          </w:p>
        </w:tc>
        <w:tc>
          <w:tcPr>
            <w:tcW w:type="dxa" w:w="29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r>
          </w:p>
        </w:tc>
      </w:tr>
      <w:tr>
        <w:trPr>
          <w:cantSplit/>
        </w:trPr>
        <w:tc>
          <w:tcPr>
            <w:tcW w:type="dxa" w:w="35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Process argument regex</w:t>
            </w:r>
          </w:p>
        </w:tc>
        <w:tc>
          <w:tcPr>
            <w:tcW w:type="dxa" w:w="29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SERVERS.md / server owner</w:t>
            </w:r>
          </w:p>
        </w:tc>
        <w:tc>
          <w:tcPr>
            <w:tcW w:type="dxa" w:w="29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r>
          </w:p>
        </w:tc>
      </w:tr>
      <w:tr>
        <w:trPr>
          <w:cantSplit/>
        </w:trPr>
        <w:tc>
          <w:tcPr>
            <w:tcW w:type="dxa" w:w="35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Scheduled task name</w:t>
            </w:r>
          </w:p>
        </w:tc>
        <w:tc>
          <w:tcPr>
            <w:tcW w:type="dxa" w:w="29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Server runbook</w:t>
            </w:r>
          </w:p>
        </w:tc>
        <w:tc>
          <w:tcPr>
            <w:tcW w:type="dxa" w:w="29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r>
          </w:p>
        </w:tc>
      </w:tr>
      <w:tr>
        <w:trPr>
          <w:cantSplit/>
        </w:trPr>
        <w:tc>
          <w:tcPr>
            <w:tcW w:type="dxa" w:w="35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Fresh log directory</w:t>
            </w:r>
          </w:p>
        </w:tc>
        <w:tc>
          <w:tcPr>
            <w:tcW w:type="dxa" w:w="29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Server runbook</w:t>
            </w:r>
          </w:p>
        </w:tc>
        <w:tc>
          <w:tcPr>
            <w:tcW w:type="dxa" w:w="29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r>
          </w:p>
        </w:tc>
      </w:tr>
      <w:tr>
        <w:trPr>
          <w:cantSplit/>
        </w:trPr>
        <w:tc>
          <w:tcPr>
            <w:tcW w:type="dxa" w:w="35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Change ticket / authorization</w:t>
            </w:r>
          </w:p>
        </w:tc>
        <w:tc>
          <w:tcPr>
            <w:tcW w:type="dxa" w:w="29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Change management</w:t>
            </w:r>
          </w:p>
        </w:tc>
        <w:tc>
          <w:tcPr>
            <w:tcW w:type="dxa" w:w="29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r>
          </w:p>
        </w:tc>
      </w:tr>
    </w:tbl>
    <w:p>
      <w:pPr>
        <w:spacing w:before="0" w:after="140" w:line="168" w:lineRule="auto"/>
      </w:pPr>
    </w:p>
    <w:p>
      <w:pPr>
        <w:pStyle w:val="Heading2"/>
        <w:keepNext/>
        <w:pageBreakBefore/>
      </w:pPr>
      <w:r>
        <w:rPr>
          <w:rFonts w:ascii="Calibri" w:hAnsi="Calibri" w:eastAsia="Calibri"/>
          <w:color w:val="0B2545"/>
          <w:sz w:val="22"/>
        </w:rPr>
        <w:t>Create the session variables</w:t>
      </w:r>
    </w:p>
    <w:p>
      <w:r>
        <w:rPr>
          <w:rFonts w:ascii="Calibri" w:hAnsi="Calibri" w:eastAsia="Calibri"/>
          <w:i w:val="0"/>
          <w:color w:val="0B2545"/>
          <w:sz w:val="22"/>
        </w:rPr>
        <w:t>Enter the confirmed values once in the same Windows PowerShell 5.1 window. Every later command reuses them.</w:t>
      </w:r>
    </w:p>
    <w:p>
      <w:pPr>
        <w:pStyle w:val="CodeBlock"/>
        <w:keepLines/>
        <w:shd w:fill="F4F6F9" w:val="clear"/>
        <w:pBdr>
          <w:left w:val="single" w:sz="12" w:space="8" w:color="2E74B5"/>
        </w:pBdr>
      </w:pPr>
      <w:r>
        <w:rPr>
          <w:rFonts w:ascii="Consolas" w:hAnsi="Consolas" w:eastAsia="Consolas"/>
          <w:color w:val="0B2545"/>
          <w:sz w:val="17"/>
        </w:rPr>
        <w:t>$Processor = 'REPLACE_WITH_PROCESSOR_NAME'</w:t>
        <w:br/>
        <w:t>$ApprovedCommit = 'REPLACE_WITH_APPROVED_COMMIT_OR_TFS_LABEL'</w:t>
        <w:br/>
        <w:t>$ApprovedCommitParam = 'REPLACE_WITH_APPROVED_COMMIT_SSM_PARAMETER'</w:t>
        <w:br/>
        <w:t>$TrustParam = 'REPLACE_WITH_BASELINE_HASH_SSM_PARAMETER'</w:t>
        <w:br/>
        <w:t>$Region = 'REPLACE_WITH_CONFIRMED_GOVCLOUD_REGION'</w:t>
        <w:br/>
        <w:t>$UatReleaseRoot = 'REPLACE_WITH_UAT_APPROVED_RELEASE_FOLDER'</w:t>
        <w:br/>
        <w:t>$TargetReleaseRoot = 'REPLACE_WITH_TARGET_RELEASE_FOLDER'</w:t>
        <w:br/>
        <w:t>$ManifestPath = 'REPLACE_WITH_BASELINE_MANIFEST_PATH'</w:t>
        <w:br/>
        <w:t>$ArchiveRepo = 'REPLACE_WITH_BASELINE_GIT_CHECKOUT'</w:t>
        <w:br/>
        <w:t>$ReleaseTag = 'REPLACE_WITH_RELEASE_TAG'</w:t>
        <w:br/>
        <w:t>$ConfigContract = 'REPLACE_WITH_CONFIG_CONTRACT_PATH'</w:t>
        <w:br/>
        <w:t>$ConfigPath = 'REPLACE_WITH_LIVE_CONFIG_PATH'</w:t>
        <w:br/>
        <w:t>$ProcessArgumentPattern = 'REPLACE_WITH_MODE_REGEX'</w:t>
        <w:br/>
        <w:t>$ScheduledTask = 'REPLACE_WITH_TASK_NAME'</w:t>
        <w:br/>
        <w:t>$FreshLogDir = 'REPLACE_WITH_FRESH_LOG_DIRECTORY'</w:t>
      </w:r>
    </w:p>
    <w:p>
      <w:pPr>
        <w:pStyle w:val="CodeBlock"/>
        <w:keepLines/>
        <w:shd w:fill="F4F6F9" w:val="clear"/>
        <w:pBdr>
          <w:left w:val="single" w:sz="12" w:space="8" w:color="2E74B5"/>
        </w:pBdr>
      </w:pPr>
      <w:r>
        <w:rPr>
          <w:rFonts w:ascii="Consolas" w:hAnsi="Consolas" w:eastAsia="Consolas"/>
          <w:color w:val="0B2545"/>
          <w:sz w:val="17"/>
        </w:rPr>
        <w:t>$required = @(</w:t>
        <w:br/>
        <w:t xml:space="preserve">  $Processor, $ApprovedCommit, $ApprovedCommitParam, $TrustParam, $Region,</w:t>
        <w:br/>
        <w:t xml:space="preserve">  $UatReleaseRoot, $TargetReleaseRoot, $ManifestPath, $ArchiveRepo, $ReleaseTag</w:t>
        <w:br/>
        <w:t>)</w:t>
        <w:br/>
        <w:t>if ($required | Where-Object {</w:t>
        <w:br/>
        <w:t xml:space="preserve">    [string]::IsNullOrWhiteSpace($_) -or $_ -like 'REPLACE_WITH_*'</w:t>
        <w:br/>
        <w:t>}) {</w:t>
        <w:br/>
        <w:t xml:space="preserve">    throw 'STOP: one or more required values are blank or still placeholders.'</w:t>
        <w:br/>
        <w:t>}</w:t>
      </w:r>
    </w:p>
    <w:p>
      <w:pPr>
        <w:spacing w:before="80" w:after="160" w:line="276" w:lineRule="auto"/>
        <w:ind w:left="173" w:right="115"/>
        <w:shd w:fill="F4F6F9" w:val="clear"/>
        <w:pBdr>
          <w:left w:val="single" w:sz="18" w:space="10" w:color="2E74B5"/>
        </w:pBdr>
      </w:pPr>
      <w:r>
        <w:rPr>
          <w:rFonts w:ascii="Calibri" w:hAnsi="Calibri" w:eastAsia="Calibri"/>
          <w:b/>
          <w:color w:val="0B2545"/>
          <w:sz w:val="21"/>
        </w:rPr>
        <w:t xml:space="preserve">Config and health values: </w:t>
      </w:r>
      <w:r>
        <w:rPr>
          <w:rFonts w:ascii="Calibri" w:hAnsi="Calibri" w:eastAsia="Calibri"/>
          <w:color w:val="0B2545"/>
          <w:sz w:val="21"/>
        </w:rPr>
        <w:t>Config values are required only when a config contract is in scope. Health values are required for the selected target profile. For outbound console EXEs, use exact process-path/mode, scheduled-task, and fresh-log probes. Do not use -RequiredAssemblies for native or PowerBuilder executables.</w:t>
      </w:r>
    </w:p>
    <w:p>
      <w:r>
        <w:rPr>
          <w:rFonts w:ascii="Calibri" w:hAnsi="Calibri" w:eastAsia="Calibri"/>
          <w:color w:val="0B2545"/>
          <w:sz w:val="22"/>
        </w:rPr>
        <w:br w:type="page"/>
      </w:r>
    </w:p>
    <w:p>
      <w:pPr>
        <w:pStyle w:val="Heading1"/>
        <w:keepNext/>
        <w:pageBreakBefore w:val="0"/>
      </w:pPr>
      <w:r>
        <w:rPr>
          <w:rFonts w:ascii="Calibri" w:hAnsi="Calibri" w:eastAsia="Calibri"/>
          <w:color w:val="0B2545"/>
          <w:sz w:val="22"/>
        </w:rPr>
        <w:t>3. Normal test flow</w:t>
      </w:r>
    </w:p>
    <w:p>
      <w:pPr>
        <w:pStyle w:val="Heading2"/>
        <w:keepNext/>
        <w:pageBreakBefore w:val="0"/>
      </w:pPr>
      <w:r>
        <w:rPr>
          <w:rFonts w:ascii="Calibri" w:hAnsi="Calibri" w:eastAsia="Calibri"/>
          <w:color w:val="0B2545"/>
          <w:sz w:val="22"/>
        </w:rPr>
        <w:t>Step 0 - Workstation tests</w:t>
      </w:r>
    </w:p>
    <w:tbl>
      <w:tblPr>
        <w:tblW w:type="dxa" w:w="9360"/>
        <w:jc w:val="left"/>
        <w:tblLayout w:type="fixed"/>
        <w:tblLook w:firstColumn="1" w:firstRow="1" w:lastColumn="0" w:lastRow="0" w:noHBand="0" w:noVBand="1" w:val="04A0"/>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Pr>
      <w:tblGrid>
        <w:gridCol w:w="1700"/>
        <w:gridCol w:w="2050"/>
        <w:gridCol w:w="2350"/>
        <w:gridCol w:w="3260"/>
      </w:tblGrid>
      <w:tr>
        <w:trPr>
          <w:cantSplit/>
          <w:tblHeader w:val="true"/>
        </w:trPr>
        <w:tc>
          <w:tcPr>
            <w:tcW w:type="dxa" w:w="170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Where</w:t>
            </w:r>
          </w:p>
        </w:tc>
        <w:tc>
          <w:tcPr>
            <w:tcW w:type="dxa" w:w="205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Owner</w:t>
            </w:r>
          </w:p>
        </w:tc>
        <w:tc>
          <w:tcPr>
            <w:tcW w:type="dxa" w:w="235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System changes</w:t>
            </w:r>
          </w:p>
        </w:tc>
        <w:tc>
          <w:tcPr>
            <w:tcW w:type="dxa" w:w="326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Expected</w:t>
            </w:r>
          </w:p>
        </w:tc>
      </w:tr>
      <w:tr>
        <w:trPr>
          <w:cantSplit/>
        </w:trPr>
        <w:tc>
          <w:tcPr>
            <w:tcW w:type="dxa" w:w="17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Tester workstation</w:t>
            </w:r>
          </w:p>
        </w:tc>
        <w:tc>
          <w:tcPr>
            <w:tcW w:type="dxa" w:w="205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Tester or repository maintainer</w:t>
            </w:r>
          </w:p>
        </w:tc>
        <w:tc>
          <w:tcPr>
            <w:tcW w:type="dxa" w:w="235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Local fixtures and temporary logs only</w:t>
            </w:r>
          </w:p>
        </w:tc>
        <w:tc>
          <w:tcPr>
            <w:tcW w:type="dxa" w:w="32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Exit 0</w:t>
            </w:r>
          </w:p>
        </w:tc>
      </w:tr>
    </w:tbl>
    <w:p>
      <w:pPr>
        <w:spacing w:before="0" w:after="140" w:line="168" w:lineRule="auto"/>
      </w:pPr>
    </w:p>
    <w:p>
      <w:r>
        <w:rPr>
          <w:rFonts w:ascii="Calibri" w:hAnsi="Calibri" w:eastAsia="Calibri"/>
          <w:i w:val="0"/>
          <w:color w:val="0B2545"/>
          <w:sz w:val="22"/>
        </w:rPr>
        <w:t>This proves the repository's file-match and no-false-green health behavior before any server work.</w:t>
      </w:r>
    </w:p>
    <w:p>
      <w:pPr>
        <w:pStyle w:val="CodeBlock"/>
        <w:keepLines/>
        <w:shd w:fill="F4F6F9" w:val="clear"/>
        <w:pBdr>
          <w:left w:val="single" w:sz="12" w:space="8" w:color="2E74B5"/>
        </w:pBdr>
      </w:pPr>
      <w:r>
        <w:rPr>
          <w:rFonts w:ascii="Consolas" w:hAnsi="Consolas" w:eastAsia="Consolas"/>
          <w:color w:val="0B2545"/>
          <w:sz w:val="17"/>
        </w:rPr>
        <w:t>Set-Location 'REPLACE_WITH_REPOSITORY_PATH'</w:t>
        <w:br/>
        <w:t>$PSVersionTable.PSVersion</w:t>
        <w:br/>
        <w:t>git rev-parse --short HEAD</w:t>
        <w:br/>
        <w:t>powershell.exe -NoProfile -ExecutionPolicy Bypass -File .\Invoke-Tests.ps1</w:t>
        <w:br/>
        <w:t>$LASTEXITCODE</w:t>
      </w:r>
    </w:p>
    <w:p>
      <w:pPr>
        <w:spacing w:before="80" w:after="160" w:line="276" w:lineRule="auto"/>
        <w:ind w:left="173" w:right="115"/>
        <w:shd w:fill="EAF4EE" w:val="clear"/>
        <w:pBdr>
          <w:left w:val="single" w:sz="18" w:space="10" w:color="2F6B45"/>
        </w:pBdr>
      </w:pPr>
      <w:r>
        <w:rPr>
          <w:rFonts w:ascii="Calibri" w:hAnsi="Calibri" w:eastAsia="Calibri"/>
          <w:b/>
          <w:color w:val="0B2545"/>
          <w:sz w:val="21"/>
        </w:rPr>
        <w:t xml:space="preserve">Pass: </w:t>
      </w:r>
      <w:r>
        <w:rPr>
          <w:rFonts w:ascii="Calibri" w:hAnsi="Calibri" w:eastAsia="Calibri"/>
          <w:color w:val="0B2545"/>
          <w:sz w:val="21"/>
        </w:rPr>
        <w:t>The PowerShell major version is 5, the test run reports no failed tests, and $LASTEXITCODE is 0. The accuracy review for commit dcd25338 produced 7 passed and 0 failed.</w:t>
      </w:r>
    </w:p>
    <w:p>
      <w:pPr>
        <w:spacing w:before="80" w:after="160" w:line="276" w:lineRule="auto"/>
        <w:ind w:left="173" w:right="115"/>
        <w:shd w:fill="FDECEC" w:val="clear"/>
        <w:pBdr>
          <w:left w:val="single" w:sz="18" w:space="10" w:color="9B1C1C"/>
        </w:pBdr>
      </w:pPr>
      <w:r>
        <w:rPr>
          <w:rFonts w:ascii="Calibri" w:hAnsi="Calibri" w:eastAsia="Calibri"/>
          <w:b/>
          <w:color w:val="0B2545"/>
          <w:sz w:val="21"/>
        </w:rPr>
        <w:t xml:space="preserve">Stop: </w:t>
      </w:r>
      <w:r>
        <w:rPr>
          <w:rFonts w:ascii="Calibri" w:hAnsi="Calibri" w:eastAsia="Calibri"/>
          <w:color w:val="0B2545"/>
          <w:sz w:val="21"/>
        </w:rPr>
        <w:t>If the version is not 5 or the exit code is not 0, do not continue to UAT or a target server.</w:t>
      </w:r>
    </w:p>
    <w:p>
      <w:pPr>
        <w:pStyle w:val="Heading2"/>
        <w:keepNext/>
        <w:pageBreakBefore w:val="0"/>
      </w:pPr>
      <w:r>
        <w:rPr>
          <w:rFonts w:ascii="Calibri" w:hAnsi="Calibri" w:eastAsia="Calibri"/>
          <w:color w:val="0B2545"/>
          <w:sz w:val="22"/>
        </w:rPr>
        <w:t>Step 1 - Per-processor preflight</w:t>
      </w:r>
    </w:p>
    <w:tbl>
      <w:tblPr>
        <w:tblW w:type="dxa" w:w="9360"/>
        <w:jc w:val="left"/>
        <w:tblLayout w:type="fixed"/>
        <w:tblLook w:firstColumn="1" w:firstRow="1" w:lastColumn="0" w:lastRow="0" w:noHBand="0" w:noVBand="1" w:val="04A0"/>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Pr>
      <w:tblGrid>
        <w:gridCol w:w="1700"/>
        <w:gridCol w:w="2050"/>
        <w:gridCol w:w="2350"/>
        <w:gridCol w:w="3260"/>
      </w:tblGrid>
      <w:tr>
        <w:trPr>
          <w:cantSplit/>
          <w:tblHeader w:val="true"/>
        </w:trPr>
        <w:tc>
          <w:tcPr>
            <w:tcW w:type="dxa" w:w="170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Where</w:t>
            </w:r>
          </w:p>
        </w:tc>
        <w:tc>
          <w:tcPr>
            <w:tcW w:type="dxa" w:w="205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Owner</w:t>
            </w:r>
          </w:p>
        </w:tc>
        <w:tc>
          <w:tcPr>
            <w:tcW w:type="dxa" w:w="235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System changes</w:t>
            </w:r>
          </w:p>
        </w:tc>
        <w:tc>
          <w:tcPr>
            <w:tcW w:type="dxa" w:w="326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Expected</w:t>
            </w:r>
          </w:p>
        </w:tc>
      </w:tr>
      <w:tr>
        <w:trPr>
          <w:cantSplit/>
        </w:trPr>
        <w:tc>
          <w:tcPr>
            <w:tcW w:type="dxa" w:w="17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UAT, approved runner, or the target host</w:t>
            </w:r>
          </w:p>
        </w:tc>
        <w:tc>
          <w:tcPr>
            <w:tcW w:type="dxa" w:w="205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Tester with release/server owner support</w:t>
            </w:r>
          </w:p>
        </w:tc>
        <w:tc>
          <w:tcPr>
            <w:tcW w:type="dxa" w:w="235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Read-only AWS, SSM, manifest, and host checks</w:t>
            </w:r>
          </w:p>
        </w:tc>
        <w:tc>
          <w:tcPr>
            <w:tcW w:type="dxa" w:w="32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Exit 0 = ready</w:t>
            </w:r>
          </w:p>
        </w:tc>
      </w:tr>
    </w:tbl>
    <w:p>
      <w:pPr>
        <w:spacing w:before="0" w:after="140" w:line="168" w:lineRule="auto"/>
      </w:pPr>
    </w:p>
    <w:p>
      <w:pPr>
        <w:pStyle w:val="CodeBlock"/>
        <w:keepLines/>
        <w:shd w:fill="F4F6F9" w:val="clear"/>
        <w:pBdr>
          <w:left w:val="single" w:sz="12" w:space="8" w:color="2E74B5"/>
        </w:pBdr>
      </w:pPr>
      <w:r>
        <w:rPr>
          <w:rFonts w:ascii="Consolas" w:hAnsi="Consolas" w:eastAsia="Consolas"/>
          <w:color w:val="0B2545"/>
          <w:sz w:val="17"/>
        </w:rPr>
        <w:t>powershell.exe -NoProfile -ExecutionPolicy Bypass `</w:t>
        <w:br/>
        <w:t xml:space="preserve">  -File .\Invoke-Preflight.ps1 `</w:t>
        <w:br/>
        <w:t xml:space="preserve">  -Processor $Processor `</w:t>
        <w:br/>
        <w:t xml:space="preserve">  -ApprovedCommitParam $ApprovedCommitParam `</w:t>
        <w:br/>
        <w:t xml:space="preserve">  -TrustParam $TrustParam `</w:t>
        <w:br/>
        <w:t xml:space="preserve">  -ManifestPath $ManifestPath `</w:t>
        <w:br/>
        <w:t xml:space="preserve">  -Region $Region `</w:t>
        <w:br/>
        <w:t xml:space="preserve">  -Json</w:t>
        <w:br/>
        <w:t>$LASTEXITCODE</w:t>
      </w:r>
    </w:p>
    <w:p>
      <w:pPr>
        <w:spacing w:before="80" w:after="160" w:line="276" w:lineRule="auto"/>
        <w:ind w:left="173" w:right="115"/>
        <w:shd w:fill="EAF4EE" w:val="clear"/>
        <w:pBdr>
          <w:left w:val="single" w:sz="18" w:space="10" w:color="2F6B45"/>
        </w:pBdr>
      </w:pPr>
      <w:r>
        <w:rPr>
          <w:rFonts w:ascii="Calibri" w:hAnsi="Calibri" w:eastAsia="Calibri"/>
          <w:b/>
          <w:color w:val="0B2545"/>
          <w:sz w:val="21"/>
        </w:rPr>
        <w:t xml:space="preserve">Pass: </w:t>
      </w:r>
      <w:r>
        <w:rPr>
          <w:rFonts w:ascii="Calibri" w:hAnsi="Calibri" w:eastAsia="Calibri"/>
          <w:color w:val="0B2545"/>
          <w:sz w:val="21"/>
        </w:rPr>
        <w:t>Exit 0 and the output says READY. Record any WARN entries; warnings do not change the exit code.</w:t>
      </w:r>
    </w:p>
    <w:p>
      <w:pPr>
        <w:spacing w:before="80" w:after="160" w:line="276" w:lineRule="auto"/>
        <w:ind w:left="173" w:right="115"/>
        <w:shd w:fill="FDECEC" w:val="clear"/>
        <w:pBdr>
          <w:left w:val="single" w:sz="18" w:space="10" w:color="9B1C1C"/>
        </w:pBdr>
      </w:pPr>
      <w:r>
        <w:rPr>
          <w:rFonts w:ascii="Calibri" w:hAnsi="Calibri" w:eastAsia="Calibri"/>
          <w:b/>
          <w:color w:val="0B2545"/>
          <w:sz w:val="21"/>
        </w:rPr>
        <w:t xml:space="preserve">Stop: </w:t>
      </w:r>
      <w:r>
        <w:rPr>
          <w:rFonts w:ascii="Calibri" w:hAnsi="Calibri" w:eastAsia="Calibri"/>
          <w:color w:val="0B2545"/>
          <w:sz w:val="21"/>
        </w:rPr>
        <w:t>Exit 2 means not ready. Exit 10 means the command is incomplete. Do not capture or verify until access, region, SSM paths, and manifest trust are resolved.</w:t>
      </w:r>
    </w:p>
    <w:p>
      <w:r>
        <w:rPr>
          <w:rFonts w:ascii="Calibri" w:hAnsi="Calibri" w:eastAsia="Calibri"/>
          <w:color w:val="0B2545"/>
          <w:sz w:val="22"/>
        </w:rPr>
        <w:br w:type="page"/>
      </w:r>
    </w:p>
    <w:p>
      <w:pPr>
        <w:pStyle w:val="Heading2"/>
        <w:keepNext/>
        <w:pageBreakBefore w:val="0"/>
      </w:pPr>
      <w:r>
        <w:rPr>
          <w:rFonts w:ascii="Calibri" w:hAnsi="Calibri" w:eastAsia="Calibri"/>
          <w:color w:val="0B2545"/>
          <w:sz w:val="22"/>
        </w:rPr>
        <w:t>Step 2 - Capture the approved UAT baseline</w:t>
      </w:r>
    </w:p>
    <w:tbl>
      <w:tblPr>
        <w:tblW w:type="dxa" w:w="9360"/>
        <w:jc w:val="left"/>
        <w:tblLayout w:type="fixed"/>
        <w:tblLook w:firstColumn="1" w:firstRow="1" w:lastColumn="0" w:lastRow="0" w:noHBand="0" w:noVBand="1" w:val="04A0"/>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Pr>
      <w:tblGrid>
        <w:gridCol w:w="1700"/>
        <w:gridCol w:w="2050"/>
        <w:gridCol w:w="2350"/>
        <w:gridCol w:w="3260"/>
      </w:tblGrid>
      <w:tr>
        <w:trPr>
          <w:cantSplit/>
          <w:tblHeader w:val="true"/>
        </w:trPr>
        <w:tc>
          <w:tcPr>
            <w:tcW w:type="dxa" w:w="170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Where</w:t>
            </w:r>
          </w:p>
        </w:tc>
        <w:tc>
          <w:tcPr>
            <w:tcW w:type="dxa" w:w="205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Owner</w:t>
            </w:r>
          </w:p>
        </w:tc>
        <w:tc>
          <w:tcPr>
            <w:tcW w:type="dxa" w:w="235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System changes</w:t>
            </w:r>
          </w:p>
        </w:tc>
        <w:tc>
          <w:tcPr>
            <w:tcW w:type="dxa" w:w="326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Expected</w:t>
            </w:r>
          </w:p>
        </w:tc>
      </w:tr>
      <w:tr>
        <w:trPr>
          <w:cantSplit/>
        </w:trPr>
        <w:tc>
          <w:tcPr>
            <w:tcW w:type="dxa" w:w="17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UAT approval host</w:t>
            </w:r>
          </w:p>
        </w:tc>
        <w:tc>
          <w:tcPr>
            <w:tcW w:type="dxa" w:w="205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Release owner present; tester records evidence</w:t>
            </w:r>
          </w:p>
        </w:tc>
        <w:tc>
          <w:tcPr>
            <w:tcW w:type="dxa" w:w="235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Writes manifest, Git release record/tag, and SSM baseline hash</w:t>
            </w:r>
          </w:p>
        </w:tc>
        <w:tc>
          <w:tcPr>
            <w:tcW w:type="dxa" w:w="32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Exit 0</w:t>
            </w:r>
          </w:p>
        </w:tc>
      </w:tr>
    </w:tbl>
    <w:p>
      <w:pPr>
        <w:spacing w:before="0" w:after="140" w:line="168" w:lineRule="auto"/>
      </w:pPr>
    </w:p>
    <w:p>
      <w:pPr>
        <w:spacing w:before="80" w:after="160" w:line="276" w:lineRule="auto"/>
        <w:ind w:left="173" w:right="115"/>
        <w:shd w:fill="FFF4CC" w:val="clear"/>
        <w:pBdr>
          <w:left w:val="single" w:sz="18" w:space="10" w:color="B7791F"/>
        </w:pBdr>
      </w:pPr>
      <w:r>
        <w:rPr>
          <w:rFonts w:ascii="Calibri" w:hAnsi="Calibri" w:eastAsia="Calibri"/>
          <w:b/>
          <w:color w:val="0B2545"/>
          <w:sz w:val="21"/>
        </w:rPr>
        <w:t xml:space="preserve">Approval gate: </w:t>
      </w:r>
      <w:r>
        <w:rPr>
          <w:rFonts w:ascii="Calibri" w:hAnsi="Calibri" w:eastAsia="Calibri"/>
          <w:color w:val="0B2545"/>
          <w:sz w:val="21"/>
        </w:rPr>
        <w:t>Run only after UAT sign-off. The release owner must confirm the UAT folder, commit or TFS label, release tag, SSM paths, Git checkout, and region.</w:t>
      </w:r>
    </w:p>
    <w:p>
      <w:pPr>
        <w:pStyle w:val="CodeBlock"/>
        <w:keepLines/>
        <w:shd w:fill="F4F6F9" w:val="clear"/>
        <w:pBdr>
          <w:left w:val="single" w:sz="12" w:space="8" w:color="2E74B5"/>
        </w:pBdr>
      </w:pPr>
      <w:r>
        <w:rPr>
          <w:rFonts w:ascii="Consolas" w:hAnsi="Consolas" w:eastAsia="Consolas"/>
          <w:color w:val="0B2545"/>
          <w:sz w:val="17"/>
        </w:rPr>
        <w:t>powershell.exe -NoProfile -ExecutionPolicy Bypass `</w:t>
        <w:br/>
        <w:t xml:space="preserve">  -File .\Invoke-Verification.ps1 `</w:t>
        <w:br/>
        <w:t xml:space="preserve">  -Mode Capture `</w:t>
        <w:br/>
        <w:t xml:space="preserve">  -ReleaseRoot $UatReleaseRoot `</w:t>
        <w:br/>
        <w:t xml:space="preserve">  -ManifestPath $ManifestPath `</w:t>
        <w:br/>
        <w:t xml:space="preserve">  -TrustParam $TrustParam `</w:t>
        <w:br/>
        <w:t xml:space="preserve">  -ArchiveRepo $ArchiveRepo `</w:t>
        <w:br/>
        <w:t xml:space="preserve">  -ReleaseTag $ReleaseTag `</w:t>
        <w:br/>
        <w:t xml:space="preserve">  -Processor $Processor `</w:t>
        <w:br/>
        <w:t xml:space="preserve">  -CommitSha $ApprovedCommit `</w:t>
        <w:br/>
        <w:t xml:space="preserve">  -Environment uat `</w:t>
        <w:br/>
        <w:t xml:space="preserve">  -Region $Region `</w:t>
        <w:br/>
        <w:t xml:space="preserve">  -Json</w:t>
        <w:br/>
        <w:t>$LASTEXITCODE</w:t>
      </w:r>
    </w:p>
    <w:p>
      <w:pPr>
        <w:spacing w:before="80" w:after="160" w:line="276" w:lineRule="auto"/>
        <w:ind w:left="173" w:right="115"/>
        <w:shd w:fill="F4F6F9" w:val="clear"/>
        <w:pBdr>
          <w:left w:val="single" w:sz="18" w:space="10" w:color="2E74B5"/>
        </w:pBdr>
      </w:pPr>
      <w:r>
        <w:rPr>
          <w:rFonts w:ascii="Calibri" w:hAnsi="Calibri" w:eastAsia="Calibri"/>
          <w:b/>
          <w:color w:val="0B2545"/>
          <w:sz w:val="21"/>
        </w:rPr>
        <w:t xml:space="preserve">Optional off-host archive: </w:t>
      </w:r>
      <w:r>
        <w:rPr>
          <w:rFonts w:ascii="Calibri" w:hAnsi="Calibri" w:eastAsia="Calibri"/>
          <w:color w:val="0B2545"/>
          <w:sz w:val="21"/>
        </w:rPr>
        <w:t>Add -PushRemote only when the release owner confirms the Git remote is configured and the approved process requires the tag to be pushed immediately.</w:t>
      </w:r>
    </w:p>
    <w:p>
      <w:r>
        <w:rPr>
          <w:rFonts w:ascii="Calibri" w:hAnsi="Calibri" w:eastAsia="Calibri"/>
          <w:i w:val="0"/>
          <w:color w:val="0B2545"/>
          <w:sz w:val="22"/>
        </w:rPr>
        <w:t>After capture succeeds, the release owner updates the approved-commit or approved-label SSM parameter used by the deployment gate.</w:t>
      </w:r>
    </w:p>
    <w:p>
      <w:pPr>
        <w:pStyle w:val="CodeBlock"/>
        <w:keepLines/>
        <w:shd w:fill="F4F6F9" w:val="clear"/>
        <w:pBdr>
          <w:left w:val="single" w:sz="12" w:space="8" w:color="2E74B5"/>
        </w:pBdr>
      </w:pPr>
      <w:r>
        <w:rPr>
          <w:rFonts w:ascii="Consolas" w:hAnsi="Consolas" w:eastAsia="Consolas"/>
          <w:color w:val="0B2545"/>
          <w:sz w:val="17"/>
        </w:rPr>
        <w:t>aws ssm put-parameter `</w:t>
        <w:br/>
        <w:t xml:space="preserve">  --name $ApprovedCommitParam `</w:t>
        <w:br/>
        <w:t xml:space="preserve">  --value $ApprovedCommit `</w:t>
        <w:br/>
        <w:t xml:space="preserve">  --type SecureString `</w:t>
        <w:br/>
        <w:t xml:space="preserve">  --overwrite `</w:t>
        <w:br/>
        <w:t xml:space="preserve">  --region $Region</w:t>
        <w:br/>
        <w:t>$LASTEXITCODE</w:t>
      </w:r>
    </w:p>
    <w:p>
      <w:pPr>
        <w:spacing w:before="80" w:after="160" w:line="276" w:lineRule="auto"/>
        <w:ind w:left="173" w:right="115"/>
        <w:shd w:fill="F4F6F9" w:val="clear"/>
        <w:pBdr>
          <w:left w:val="single" w:sz="18" w:space="10" w:color="2E74B5"/>
        </w:pBdr>
      </w:pPr>
      <w:r>
        <w:rPr>
          <w:rFonts w:ascii="Calibri" w:hAnsi="Calibri" w:eastAsia="Calibri"/>
          <w:b/>
          <w:color w:val="0B2545"/>
          <w:sz w:val="21"/>
        </w:rPr>
        <w:t xml:space="preserve">Record: </w:t>
      </w:r>
      <w:r>
        <w:rPr>
          <w:rFonts w:ascii="Calibri" w:hAnsi="Calibri" w:eastAsia="Calibri"/>
          <w:color w:val="0B2545"/>
          <w:sz w:val="21"/>
        </w:rPr>
        <w:t>Release tag, source commit or TFS label, manifest path, manifest hash, file count, Git archive path, SSM parameter names, JSONL log path, and both exit codes.</w:t>
      </w:r>
    </w:p>
    <w:p>
      <w:pPr>
        <w:pStyle w:val="Heading2"/>
        <w:keepNext/>
        <w:pageBreakBefore/>
      </w:pPr>
      <w:r>
        <w:rPr>
          <w:rFonts w:ascii="Calibri" w:hAnsi="Calibri" w:eastAsia="Calibri"/>
          <w:color w:val="0B2545"/>
          <w:sz w:val="22"/>
        </w:rPr>
        <w:t>Step 3 - Verify target files against the approved baseline</w:t>
      </w:r>
    </w:p>
    <w:tbl>
      <w:tblPr>
        <w:tblW w:type="dxa" w:w="9360"/>
        <w:jc w:val="left"/>
        <w:tblLayout w:type="fixed"/>
        <w:tblLook w:firstColumn="1" w:firstRow="1" w:lastColumn="0" w:lastRow="0" w:noHBand="0" w:noVBand="1" w:val="04A0"/>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Pr>
      <w:tblGrid>
        <w:gridCol w:w="1700"/>
        <w:gridCol w:w="2050"/>
        <w:gridCol w:w="2350"/>
        <w:gridCol w:w="3260"/>
      </w:tblGrid>
      <w:tr>
        <w:trPr>
          <w:cantSplit/>
          <w:tblHeader w:val="true"/>
        </w:trPr>
        <w:tc>
          <w:tcPr>
            <w:tcW w:type="dxa" w:w="170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Where</w:t>
            </w:r>
          </w:p>
        </w:tc>
        <w:tc>
          <w:tcPr>
            <w:tcW w:type="dxa" w:w="205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Owner</w:t>
            </w:r>
          </w:p>
        </w:tc>
        <w:tc>
          <w:tcPr>
            <w:tcW w:type="dxa" w:w="235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System changes</w:t>
            </w:r>
          </w:p>
        </w:tc>
        <w:tc>
          <w:tcPr>
            <w:tcW w:type="dxa" w:w="326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Expected</w:t>
            </w:r>
          </w:p>
        </w:tc>
      </w:tr>
      <w:tr>
        <w:trPr>
          <w:cantSplit/>
        </w:trPr>
        <w:tc>
          <w:tcPr>
            <w:tcW w:type="dxa" w:w="17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Target server or approved runner with path access</w:t>
            </w:r>
          </w:p>
        </w:tc>
        <w:tc>
          <w:tcPr>
            <w:tcW w:type="dxa" w:w="205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Tester; release and server owners aware</w:t>
            </w:r>
          </w:p>
        </w:tc>
        <w:tc>
          <w:tcPr>
            <w:tcW w:type="dxa" w:w="235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Read-only hash comparison</w:t>
            </w:r>
          </w:p>
        </w:tc>
        <w:tc>
          <w:tcPr>
            <w:tcW w:type="dxa" w:w="32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Exit 0 and no MISSING / CHANGED / EXTRA</w:t>
            </w:r>
          </w:p>
        </w:tc>
      </w:tr>
    </w:tbl>
    <w:p>
      <w:pPr>
        <w:spacing w:before="0" w:after="140" w:line="168" w:lineRule="auto"/>
      </w:pPr>
    </w:p>
    <w:p>
      <w:r>
        <w:rPr>
          <w:rFonts w:ascii="Calibri" w:hAnsi="Calibri" w:eastAsia="Calibri"/>
          <w:i w:val="0"/>
          <w:color w:val="0B2545"/>
          <w:sz w:val="22"/>
        </w:rPr>
        <w:t>Preferred path: read the manifest from the archived release tag and cross-check it against the SSM trust pin.</w:t>
      </w:r>
    </w:p>
    <w:p>
      <w:pPr>
        <w:pStyle w:val="CodeBlock"/>
        <w:keepLines/>
        <w:shd w:fill="F4F6F9" w:val="clear"/>
        <w:pBdr>
          <w:left w:val="single" w:sz="12" w:space="8" w:color="2E74B5"/>
        </w:pBdr>
      </w:pPr>
      <w:r>
        <w:rPr>
          <w:rFonts w:ascii="Consolas" w:hAnsi="Consolas" w:eastAsia="Consolas"/>
          <w:color w:val="0B2545"/>
          <w:sz w:val="17"/>
        </w:rPr>
        <w:t>powershell.exe -NoProfile -ExecutionPolicy Bypass `</w:t>
        <w:br/>
        <w:t xml:space="preserve">  -File .\Invoke-Verification.ps1 `</w:t>
        <w:br/>
        <w:t xml:space="preserve">  -Mode VerifyFiles `</w:t>
        <w:br/>
        <w:t xml:space="preserve">  -ReleaseRoot $TargetReleaseRoot `</w:t>
        <w:br/>
        <w:t xml:space="preserve">  -BaselineRepo $ArchiveRepo `</w:t>
        <w:br/>
        <w:t xml:space="preserve">  -ReleaseTag $ReleaseTag `</w:t>
        <w:br/>
        <w:t xml:space="preserve">  -TrustParam $TrustParam `</w:t>
        <w:br/>
        <w:t xml:space="preserve">  -Processor $Processor `</w:t>
        <w:br/>
        <w:t xml:space="preserve">  -Environment prod `</w:t>
        <w:br/>
        <w:t xml:space="preserve">  -Region $Region `</w:t>
        <w:br/>
        <w:t xml:space="preserve">  -Json</w:t>
        <w:br/>
        <w:t>$LASTEXITCODE</w:t>
      </w:r>
    </w:p>
    <w:p>
      <w:pPr>
        <w:spacing w:before="80" w:after="160" w:line="276" w:lineRule="auto"/>
        <w:ind w:left="173" w:right="115"/>
        <w:shd w:fill="F4F6F9" w:val="clear"/>
        <w:pBdr>
          <w:left w:val="single" w:sz="18" w:space="10" w:color="2E74B5"/>
        </w:pBdr>
      </w:pPr>
      <w:r>
        <w:rPr>
          <w:rFonts w:ascii="Calibri" w:hAnsi="Calibri" w:eastAsia="Calibri"/>
          <w:b/>
          <w:color w:val="0B2545"/>
          <w:sz w:val="21"/>
        </w:rPr>
        <w:t xml:space="preserve">Alternate baseline source: </w:t>
      </w:r>
      <w:r>
        <w:rPr>
          <w:rFonts w:ascii="Calibri" w:hAnsi="Calibri" w:eastAsia="Calibri"/>
          <w:color w:val="0B2545"/>
          <w:sz w:val="21"/>
        </w:rPr>
        <w:t>If the approved target procedure uses the local manifest instead of a Git tag, replace -BaselineRepo $ArchiveRepo with -ManifestPath $ManifestPath. Keep -TrustParam so the manifest is checked against the SSM-pinned hash.</w:t>
      </w:r>
    </w:p>
    <w:p>
      <w:pPr>
        <w:spacing w:before="80" w:after="160" w:line="276" w:lineRule="auto"/>
        <w:ind w:left="173" w:right="115"/>
        <w:shd w:fill="FDECEC" w:val="clear"/>
        <w:pBdr>
          <w:left w:val="single" w:sz="18" w:space="10" w:color="9B1C1C"/>
        </w:pBdr>
      </w:pPr>
      <w:r>
        <w:rPr>
          <w:rFonts w:ascii="Calibri" w:hAnsi="Calibri" w:eastAsia="Calibri"/>
          <w:b/>
          <w:color w:val="0B2545"/>
          <w:sz w:val="21"/>
        </w:rPr>
        <w:t xml:space="preserve">Stop: </w:t>
      </w:r>
      <w:r>
        <w:rPr>
          <w:rFonts w:ascii="Calibri" w:hAnsi="Calibri" w:eastAsia="Calibri"/>
          <w:color w:val="0B2545"/>
          <w:sz w:val="21"/>
        </w:rPr>
        <w:t>Exit 1 is drift. Exit 2 is a trust or baseline failure. Exit 10 is usage. Capture MISSING, CHANGED, and EXTRA lines without exposing secrets.</w:t>
      </w:r>
    </w:p>
    <w:p>
      <w:r>
        <w:rPr>
          <w:rFonts w:ascii="Calibri" w:hAnsi="Calibri" w:eastAsia="Calibri"/>
          <w:color w:val="0B2545"/>
          <w:sz w:val="22"/>
        </w:rPr>
        <w:br w:type="page"/>
      </w:r>
    </w:p>
    <w:p>
      <w:pPr>
        <w:pStyle w:val="Heading2"/>
        <w:keepNext/>
        <w:pageBreakBefore w:val="0"/>
      </w:pPr>
      <w:r>
        <w:rPr>
          <w:rFonts w:ascii="Calibri" w:hAnsi="Calibri" w:eastAsia="Calibri"/>
          <w:color w:val="0B2545"/>
          <w:sz w:val="22"/>
        </w:rPr>
        <w:t>Step 4 - Verify configuration when a contract exists</w:t>
      </w:r>
    </w:p>
    <w:tbl>
      <w:tblPr>
        <w:tblW w:type="dxa" w:w="9360"/>
        <w:jc w:val="left"/>
        <w:tblLayout w:type="fixed"/>
        <w:tblLook w:firstColumn="1" w:firstRow="1" w:lastColumn="0" w:lastRow="0" w:noHBand="0" w:noVBand="1" w:val="04A0"/>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Pr>
      <w:tblGrid>
        <w:gridCol w:w="1700"/>
        <w:gridCol w:w="2050"/>
        <w:gridCol w:w="2350"/>
        <w:gridCol w:w="3260"/>
      </w:tblGrid>
      <w:tr>
        <w:trPr>
          <w:cantSplit/>
          <w:tblHeader w:val="true"/>
        </w:trPr>
        <w:tc>
          <w:tcPr>
            <w:tcW w:type="dxa" w:w="170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Where</w:t>
            </w:r>
          </w:p>
        </w:tc>
        <w:tc>
          <w:tcPr>
            <w:tcW w:type="dxa" w:w="205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Owner</w:t>
            </w:r>
          </w:p>
        </w:tc>
        <w:tc>
          <w:tcPr>
            <w:tcW w:type="dxa" w:w="235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System changes</w:t>
            </w:r>
          </w:p>
        </w:tc>
        <w:tc>
          <w:tcPr>
            <w:tcW w:type="dxa" w:w="326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Expected</w:t>
            </w:r>
          </w:p>
        </w:tc>
      </w:tr>
      <w:tr>
        <w:trPr>
          <w:cantSplit/>
        </w:trPr>
        <w:tc>
          <w:tcPr>
            <w:tcW w:type="dxa" w:w="17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Target server</w:t>
            </w:r>
          </w:p>
        </w:tc>
        <w:tc>
          <w:tcPr>
            <w:tcW w:type="dxa" w:w="205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Tester with release/server owner support</w:t>
            </w:r>
          </w:p>
        </w:tc>
        <w:tc>
          <w:tcPr>
            <w:tcW w:type="dxa" w:w="235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Read-only config contract comparison</w:t>
            </w:r>
          </w:p>
        </w:tc>
        <w:tc>
          <w:tcPr>
            <w:tcW w:type="dxa" w:w="32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Exit 0</w:t>
            </w:r>
          </w:p>
        </w:tc>
      </w:tr>
    </w:tbl>
    <w:p>
      <w:pPr>
        <w:spacing w:before="0" w:after="140" w:line="168" w:lineRule="auto"/>
      </w:pPr>
    </w:p>
    <w:p>
      <w:r>
        <w:rPr>
          <w:rFonts w:ascii="Calibri" w:hAnsi="Calibri" w:eastAsia="Calibri"/>
          <w:i w:val="0"/>
          <w:color w:val="0B2545"/>
          <w:sz w:val="22"/>
        </w:rPr>
        <w:t>Skip this step only when the release owner confirms that no config contract applies. Record 'Not used' in the sign-off table.</w:t>
      </w:r>
    </w:p>
    <w:p>
      <w:pPr>
        <w:pStyle w:val="CodeBlock"/>
        <w:keepLines/>
        <w:shd w:fill="F4F6F9" w:val="clear"/>
        <w:pBdr>
          <w:left w:val="single" w:sz="12" w:space="8" w:color="2E74B5"/>
        </w:pBdr>
      </w:pPr>
      <w:r>
        <w:rPr>
          <w:rFonts w:ascii="Consolas" w:hAnsi="Consolas" w:eastAsia="Consolas"/>
          <w:color w:val="0B2545"/>
          <w:sz w:val="17"/>
        </w:rPr>
        <w:t>powershell.exe -NoProfile -ExecutionPolicy Bypass `</w:t>
        <w:br/>
        <w:t xml:space="preserve">  -File .\Invoke-Verification.ps1 `</w:t>
        <w:br/>
        <w:t xml:space="preserve">  -Mode VerifyConfig `</w:t>
        <w:br/>
        <w:t xml:space="preserve">  -ConfigContract $ConfigContract `</w:t>
        <w:br/>
        <w:t xml:space="preserve">  -ConfigPath $ConfigPath `</w:t>
        <w:br/>
        <w:t xml:space="preserve">  -Processor $Processor `</w:t>
        <w:br/>
        <w:t xml:space="preserve">  -Environment prod `</w:t>
        <w:br/>
        <w:t xml:space="preserve">  -Region $Region `</w:t>
        <w:br/>
        <w:t xml:space="preserve">  -Json</w:t>
        <w:br/>
        <w:t>$LASTEXITCODE</w:t>
      </w:r>
    </w:p>
    <w:p>
      <w:pPr>
        <w:spacing w:before="80" w:after="160" w:line="276" w:lineRule="auto"/>
        <w:ind w:left="173" w:right="115"/>
        <w:shd w:fill="FFF4CC" w:val="clear"/>
        <w:pBdr>
          <w:left w:val="single" w:sz="18" w:space="10" w:color="B7791F"/>
        </w:pBdr>
      </w:pPr>
      <w:r>
        <w:rPr>
          <w:rFonts w:ascii="Calibri" w:hAnsi="Calibri" w:eastAsia="Calibri"/>
          <w:b/>
          <w:color w:val="0B2545"/>
          <w:sz w:val="21"/>
        </w:rPr>
        <w:t xml:space="preserve">Secret handling: </w:t>
      </w:r>
      <w:r>
        <w:rPr>
          <w:rFonts w:ascii="Calibri" w:hAnsi="Calibri" w:eastAsia="Calibri"/>
          <w:color w:val="0B2545"/>
          <w:sz w:val="21"/>
        </w:rPr>
        <w:t>Contracts may compare sensitive values through SSM, but reports must remain masked. Do not copy raw config values or SSM SecureString values into evidence.</w:t>
      </w:r>
    </w:p>
    <w:p>
      <w:pPr>
        <w:pStyle w:val="Heading2"/>
        <w:keepNext/>
        <w:pageBreakBefore w:val="0"/>
      </w:pPr>
      <w:r>
        <w:rPr>
          <w:rFonts w:ascii="Calibri" w:hAnsi="Calibri" w:eastAsia="Calibri"/>
          <w:color w:val="0B2545"/>
          <w:sz w:val="22"/>
        </w:rPr>
        <w:t>Step 5 - Run the target health check</w:t>
      </w:r>
    </w:p>
    <w:tbl>
      <w:tblPr>
        <w:tblW w:type="dxa" w:w="9360"/>
        <w:jc w:val="left"/>
        <w:tblLayout w:type="fixed"/>
        <w:tblLook w:firstColumn="1" w:firstRow="1" w:lastColumn="0" w:lastRow="0" w:noHBand="0" w:noVBand="1" w:val="04A0"/>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Pr>
      <w:tblGrid>
        <w:gridCol w:w="1700"/>
        <w:gridCol w:w="2050"/>
        <w:gridCol w:w="2350"/>
        <w:gridCol w:w="3260"/>
      </w:tblGrid>
      <w:tr>
        <w:trPr>
          <w:cantSplit/>
          <w:tblHeader w:val="true"/>
        </w:trPr>
        <w:tc>
          <w:tcPr>
            <w:tcW w:type="dxa" w:w="170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Where</w:t>
            </w:r>
          </w:p>
        </w:tc>
        <w:tc>
          <w:tcPr>
            <w:tcW w:type="dxa" w:w="205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Owner</w:t>
            </w:r>
          </w:p>
        </w:tc>
        <w:tc>
          <w:tcPr>
            <w:tcW w:type="dxa" w:w="235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System changes</w:t>
            </w:r>
          </w:p>
        </w:tc>
        <w:tc>
          <w:tcPr>
            <w:tcW w:type="dxa" w:w="326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Expected</w:t>
            </w:r>
          </w:p>
        </w:tc>
      </w:tr>
      <w:tr>
        <w:trPr>
          <w:cantSplit/>
        </w:trPr>
        <w:tc>
          <w:tcPr>
            <w:tcW w:type="dxa" w:w="17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Target server</w:t>
            </w:r>
          </w:p>
        </w:tc>
        <w:tc>
          <w:tcPr>
            <w:tcW w:type="dxa" w:w="205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Tester with server owner support</w:t>
            </w:r>
          </w:p>
        </w:tc>
        <w:tc>
          <w:tcPr>
            <w:tcW w:type="dxa" w:w="235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Read-only process, task, and log probes</w:t>
            </w:r>
          </w:p>
        </w:tc>
        <w:tc>
          <w:tcPr>
            <w:tcW w:type="dxa" w:w="32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Exit 0</w:t>
            </w:r>
          </w:p>
        </w:tc>
      </w:tr>
    </w:tbl>
    <w:p>
      <w:pPr>
        <w:spacing w:before="0" w:after="140" w:line="168" w:lineRule="auto"/>
      </w:pPr>
    </w:p>
    <w:p>
      <w:r>
        <w:rPr>
          <w:rFonts w:ascii="Calibri" w:hAnsi="Calibri" w:eastAsia="Calibri"/>
          <w:i w:val="0"/>
          <w:color w:val="0B2545"/>
          <w:sz w:val="22"/>
        </w:rPr>
        <w:t>For outbound console EXEs, process name alone is not enough because the same executable runs from more than one processor folder. Match the executable path and mode argument, then check the scheduled task and recent log activity.</w:t>
      </w:r>
    </w:p>
    <w:p>
      <w:pPr>
        <w:pStyle w:val="CodeBlock"/>
        <w:keepLines/>
        <w:shd w:fill="F4F6F9" w:val="clear"/>
        <w:pBdr>
          <w:left w:val="single" w:sz="12" w:space="8" w:color="2E74B5"/>
        </w:pBdr>
      </w:pPr>
      <w:r>
        <w:rPr>
          <w:rFonts w:ascii="Consolas" w:hAnsi="Consolas" w:eastAsia="Consolas"/>
          <w:color w:val="0B2545"/>
          <w:sz w:val="17"/>
        </w:rPr>
        <w:t>powershell.exe -NoProfile -ExecutionPolicy Bypass `</w:t>
        <w:br/>
        <w:t xml:space="preserve">  -File .\Invoke-HealthCheck.ps1 `</w:t>
        <w:br/>
        <w:t xml:space="preserve">  -Processor $Processor `</w:t>
        <w:br/>
        <w:t xml:space="preserve">  -ProcessPathRoot $TargetReleaseRoot `</w:t>
        <w:br/>
        <w:t xml:space="preserve">  -ProcessArgumentPattern $ProcessArgumentPattern `</w:t>
        <w:br/>
        <w:t xml:space="preserve">  -ScheduledTasks $ScheduledTask `</w:t>
        <w:br/>
        <w:t xml:space="preserve">  -FreshLogDir $FreshLogDir `</w:t>
        <w:br/>
        <w:t xml:space="preserve">  -FreshLogMaxAgeMinutes 60 `</w:t>
        <w:br/>
        <w:t xml:space="preserve">  -ReleaseTag $ReleaseTag `</w:t>
        <w:br/>
        <w:t xml:space="preserve">  -Environment prod `</w:t>
        <w:br/>
        <w:t xml:space="preserve">  -Json</w:t>
        <w:br/>
        <w:t>$LASTEXITCODE</w:t>
      </w:r>
    </w:p>
    <w:p>
      <w:pPr>
        <w:spacing w:before="80" w:after="160" w:line="276" w:lineRule="auto"/>
        <w:ind w:left="173" w:right="115"/>
        <w:shd w:fill="FDECEC" w:val="clear"/>
        <w:pBdr>
          <w:left w:val="single" w:sz="18" w:space="10" w:color="9B1C1C"/>
        </w:pBdr>
      </w:pPr>
      <w:r>
        <w:rPr>
          <w:rFonts w:ascii="Calibri" w:hAnsi="Calibri" w:eastAsia="Calibri"/>
          <w:b/>
          <w:color w:val="0B2545"/>
          <w:sz w:val="21"/>
        </w:rPr>
        <w:t xml:space="preserve">Stop: </w:t>
      </w:r>
      <w:r>
        <w:rPr>
          <w:rFonts w:ascii="Calibri" w:hAnsi="Calibri" w:eastAsia="Calibri"/>
          <w:color w:val="0B2545"/>
          <w:sz w:val="21"/>
        </w:rPr>
        <w:t>Exit 3 means one or more requested health probes failed. Exit 10 means no valid probe was configured. Do not treat either result as healthy.</w:t>
      </w:r>
    </w:p>
    <w:p>
      <w:r>
        <w:rPr>
          <w:rFonts w:ascii="Calibri" w:hAnsi="Calibri" w:eastAsia="Calibri"/>
          <w:color w:val="0B2545"/>
          <w:sz w:val="22"/>
        </w:rPr>
        <w:br w:type="page"/>
      </w:r>
    </w:p>
    <w:p>
      <w:pPr>
        <w:pStyle w:val="Heading1"/>
        <w:keepNext/>
        <w:pageBreakBefore w:val="0"/>
      </w:pPr>
      <w:r>
        <w:rPr>
          <w:rFonts w:ascii="Calibri" w:hAnsi="Calibri" w:eastAsia="Calibri"/>
          <w:color w:val="0B2545"/>
          <w:sz w:val="22"/>
        </w:rPr>
        <w:t>4. Evidence and sign-off</w:t>
      </w:r>
    </w:p>
    <w:p>
      <w:pPr>
        <w:pStyle w:val="Heading2"/>
        <w:keepNext/>
        <w:pageBreakBefore w:val="0"/>
      </w:pPr>
      <w:r>
        <w:rPr>
          <w:rFonts w:ascii="Calibri" w:hAnsi="Calibri" w:eastAsia="Calibri"/>
          <w:color w:val="0B2545"/>
          <w:sz w:val="22"/>
        </w:rPr>
        <w:t>Record after every command</w:t>
      </w:r>
    </w:p>
    <w:p>
      <w:pPr>
        <w:numPr>
          <w:ilvl w:val="0"/>
          <w:numId w:val="10"/>
        </w:numPr>
        <w:spacing w:after="80" w:line="300" w:lineRule="auto"/>
      </w:pPr>
      <w:r>
        <w:rPr>
          <w:rFonts w:ascii="Calibri" w:hAnsi="Calibri" w:eastAsia="Calibri"/>
          <w:color w:val="0B2545"/>
          <w:sz w:val="22"/>
        </w:rPr>
        <w:t>Date and time, including time zone.</w:t>
      </w:r>
    </w:p>
    <w:p>
      <w:pPr>
        <w:numPr>
          <w:ilvl w:val="0"/>
          <w:numId w:val="10"/>
        </w:numPr>
        <w:spacing w:after="80" w:line="300" w:lineRule="auto"/>
      </w:pPr>
      <w:r>
        <w:rPr>
          <w:rFonts w:ascii="Calibri" w:hAnsi="Calibri" w:eastAsia="Calibri"/>
          <w:color w:val="0B2545"/>
          <w:sz w:val="22"/>
        </w:rPr>
        <w:t>Workstation or server name.</w:t>
      </w:r>
    </w:p>
    <w:p>
      <w:pPr>
        <w:numPr>
          <w:ilvl w:val="0"/>
          <w:numId w:val="10"/>
        </w:numPr>
        <w:spacing w:after="80" w:line="300" w:lineRule="auto"/>
      </w:pPr>
      <w:r>
        <w:rPr>
          <w:rFonts w:ascii="Calibri" w:hAnsi="Calibri" w:eastAsia="Calibri"/>
          <w:color w:val="0B2545"/>
          <w:sz w:val="22"/>
        </w:rPr>
        <w:t>Script name and mode.</w:t>
      </w:r>
    </w:p>
    <w:p>
      <w:pPr>
        <w:numPr>
          <w:ilvl w:val="0"/>
          <w:numId w:val="10"/>
        </w:numPr>
        <w:spacing w:after="80" w:line="300" w:lineRule="auto"/>
      </w:pPr>
      <w:r>
        <w:rPr>
          <w:rFonts w:ascii="Calibri" w:hAnsi="Calibri" w:eastAsia="Calibri"/>
          <w:color w:val="0B2545"/>
          <w:sz w:val="22"/>
        </w:rPr>
        <w:t>Processor, environment, region, release tag, and commit or TFS label.</w:t>
      </w:r>
    </w:p>
    <w:p>
      <w:pPr>
        <w:numPr>
          <w:ilvl w:val="0"/>
          <w:numId w:val="10"/>
        </w:numPr>
        <w:spacing w:after="80" w:line="300" w:lineRule="auto"/>
      </w:pPr>
      <w:r>
        <w:rPr>
          <w:rFonts w:ascii="Calibri" w:hAnsi="Calibri" w:eastAsia="Calibri"/>
          <w:color w:val="0B2545"/>
          <w:sz w:val="22"/>
        </w:rPr>
        <w:t>Sanitized command line (remove secrets).</w:t>
      </w:r>
    </w:p>
    <w:p>
      <w:pPr>
        <w:numPr>
          <w:ilvl w:val="0"/>
          <w:numId w:val="10"/>
        </w:numPr>
        <w:spacing w:after="80" w:line="300" w:lineRule="auto"/>
      </w:pPr>
      <w:r>
        <w:rPr>
          <w:rFonts w:ascii="Calibri" w:hAnsi="Calibri" w:eastAsia="Calibri"/>
          <w:color w:val="0B2545"/>
          <w:sz w:val="22"/>
        </w:rPr>
        <w:t>Exit code.</w:t>
      </w:r>
    </w:p>
    <w:p>
      <w:pPr>
        <w:numPr>
          <w:ilvl w:val="0"/>
          <w:numId w:val="10"/>
        </w:numPr>
        <w:spacing w:after="80" w:line="300" w:lineRule="auto"/>
      </w:pPr>
      <w:r>
        <w:rPr>
          <w:rFonts w:ascii="Calibri" w:hAnsi="Calibri" w:eastAsia="Calibri"/>
          <w:color w:val="0B2545"/>
          <w:sz w:val="22"/>
        </w:rPr>
        <w:t>JSONL log path printed by the script.</w:t>
      </w:r>
    </w:p>
    <w:p>
      <w:pPr>
        <w:numPr>
          <w:ilvl w:val="0"/>
          <w:numId w:val="10"/>
        </w:numPr>
        <w:spacing w:after="80" w:line="300" w:lineRule="auto"/>
      </w:pPr>
      <w:r>
        <w:rPr>
          <w:rFonts w:ascii="Calibri" w:hAnsi="Calibri" w:eastAsia="Calibri"/>
          <w:color w:val="0B2545"/>
          <w:sz w:val="22"/>
        </w:rPr>
        <w:t>Any WARN, MISSING, CHANGED, EXTRA, trust, or health-failure lines.</w:t>
      </w:r>
    </w:p>
    <w:p>
      <w:pPr>
        <w:spacing w:before="80" w:after="160" w:line="276" w:lineRule="auto"/>
        <w:ind w:left="173" w:right="115"/>
        <w:shd w:fill="FFF4CC" w:val="clear"/>
        <w:pBdr>
          <w:left w:val="single" w:sz="18" w:space="10" w:color="B7791F"/>
        </w:pBdr>
      </w:pPr>
      <w:r>
        <w:rPr>
          <w:rFonts w:ascii="Calibri" w:hAnsi="Calibri" w:eastAsia="Calibri"/>
          <w:b/>
          <w:color w:val="0B2545"/>
          <w:sz w:val="21"/>
        </w:rPr>
        <w:t xml:space="preserve">Logging: </w:t>
      </w:r>
      <w:r>
        <w:rPr>
          <w:rFonts w:ascii="Calibri" w:hAnsi="Calibri" w:eastAsia="Calibri"/>
          <w:color w:val="0B2545"/>
          <w:sz w:val="21"/>
        </w:rPr>
        <w:t>Scripts create JSONL logs even when -LogFile is omitted. For durable production evidence, operations must set VES_AUDIT_LOG_DIR to the approved central location. Datadog push is disabled, so do not assume a dashboard received the result.</w:t>
      </w:r>
    </w:p>
    <w:p>
      <w:pPr>
        <w:pStyle w:val="Heading2"/>
        <w:keepNext/>
        <w:pageBreakBefore w:val="0"/>
      </w:pPr>
      <w:r>
        <w:rPr>
          <w:rFonts w:ascii="Calibri" w:hAnsi="Calibri" w:eastAsia="Calibri"/>
          <w:color w:val="0B2545"/>
          <w:sz w:val="22"/>
        </w:rPr>
        <w:t>Execution sign-off</w:t>
      </w:r>
    </w:p>
    <w:tbl>
      <w:tblPr>
        <w:tblW w:type="dxa" w:w="9360"/>
        <w:jc w:val="left"/>
        <w:tblLayout w:type="fixed"/>
        <w:tblLook w:firstColumn="1" w:firstRow="1" w:lastColumn="0" w:lastRow="0" w:noHBand="0" w:noVBand="1" w:val="04A0"/>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Pr>
      <w:tblGrid>
        <w:gridCol w:w="2200"/>
        <w:gridCol w:w="1100"/>
        <w:gridCol w:w="3660"/>
        <w:gridCol w:w="2400"/>
      </w:tblGrid>
      <w:tr>
        <w:trPr>
          <w:cantSplit/>
          <w:tblHeader w:val="true"/>
        </w:trPr>
        <w:tc>
          <w:tcPr>
            <w:tcW w:type="dxa" w:w="220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Step</w:t>
            </w:r>
          </w:p>
        </w:tc>
        <w:tc>
          <w:tcPr>
            <w:tcW w:type="dxa" w:w="110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Exit code</w:t>
            </w:r>
          </w:p>
        </w:tc>
        <w:tc>
          <w:tcPr>
            <w:tcW w:type="dxa" w:w="366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JSONL log / evidence reference</w:t>
            </w:r>
          </w:p>
        </w:tc>
        <w:tc>
          <w:tcPr>
            <w:tcW w:type="dxa" w:w="240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Result</w:t>
            </w:r>
          </w:p>
        </w:tc>
      </w:tr>
      <w:tr>
        <w:trPr>
          <w:cantSplit/>
        </w:trPr>
        <w:tc>
          <w:tcPr>
            <w:tcW w:type="dxa" w:w="22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Workstation tests</w:t>
            </w:r>
          </w:p>
        </w:tc>
        <w:tc>
          <w:tcPr>
            <w:tcW w:type="dxa" w:w="11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r>
          </w:p>
        </w:tc>
        <w:tc>
          <w:tcPr>
            <w:tcW w:type="dxa" w:w="36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r>
          </w:p>
        </w:tc>
        <w:tc>
          <w:tcPr>
            <w:tcW w:type="dxa" w:w="24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Pass / Fail</w:t>
            </w:r>
          </w:p>
        </w:tc>
      </w:tr>
      <w:tr>
        <w:trPr>
          <w:cantSplit/>
        </w:trPr>
        <w:tc>
          <w:tcPr>
            <w:tcW w:type="dxa" w:w="22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Per-processor preflight</w:t>
            </w:r>
          </w:p>
        </w:tc>
        <w:tc>
          <w:tcPr>
            <w:tcW w:type="dxa" w:w="11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r>
          </w:p>
        </w:tc>
        <w:tc>
          <w:tcPr>
            <w:tcW w:type="dxa" w:w="36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r>
          </w:p>
        </w:tc>
        <w:tc>
          <w:tcPr>
            <w:tcW w:type="dxa" w:w="24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Pass / Fail</w:t>
            </w:r>
          </w:p>
        </w:tc>
      </w:tr>
      <w:tr>
        <w:trPr>
          <w:cantSplit/>
        </w:trPr>
        <w:tc>
          <w:tcPr>
            <w:tcW w:type="dxa" w:w="22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UAT baseline capture</w:t>
            </w:r>
          </w:p>
        </w:tc>
        <w:tc>
          <w:tcPr>
            <w:tcW w:type="dxa" w:w="11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r>
          </w:p>
        </w:tc>
        <w:tc>
          <w:tcPr>
            <w:tcW w:type="dxa" w:w="36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r>
          </w:p>
        </w:tc>
        <w:tc>
          <w:tcPr>
            <w:tcW w:type="dxa" w:w="24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Pass / Fail / Not run</w:t>
            </w:r>
          </w:p>
        </w:tc>
      </w:tr>
      <w:tr>
        <w:trPr>
          <w:cantSplit/>
        </w:trPr>
        <w:tc>
          <w:tcPr>
            <w:tcW w:type="dxa" w:w="22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Approved-commit SSM update</w:t>
            </w:r>
          </w:p>
        </w:tc>
        <w:tc>
          <w:tcPr>
            <w:tcW w:type="dxa" w:w="11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r>
          </w:p>
        </w:tc>
        <w:tc>
          <w:tcPr>
            <w:tcW w:type="dxa" w:w="36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r>
          </w:p>
        </w:tc>
        <w:tc>
          <w:tcPr>
            <w:tcW w:type="dxa" w:w="24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Pass / Fail / Not run</w:t>
            </w:r>
          </w:p>
        </w:tc>
      </w:tr>
      <w:tr>
        <w:trPr>
          <w:cantSplit/>
        </w:trPr>
        <w:tc>
          <w:tcPr>
            <w:tcW w:type="dxa" w:w="22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Target file verification</w:t>
            </w:r>
          </w:p>
        </w:tc>
        <w:tc>
          <w:tcPr>
            <w:tcW w:type="dxa" w:w="11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r>
          </w:p>
        </w:tc>
        <w:tc>
          <w:tcPr>
            <w:tcW w:type="dxa" w:w="36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r>
          </w:p>
        </w:tc>
        <w:tc>
          <w:tcPr>
            <w:tcW w:type="dxa" w:w="24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Pass / Fail</w:t>
            </w:r>
          </w:p>
        </w:tc>
      </w:tr>
      <w:tr>
        <w:trPr>
          <w:cantSplit/>
        </w:trPr>
        <w:tc>
          <w:tcPr>
            <w:tcW w:type="dxa" w:w="22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Configuration verification</w:t>
            </w:r>
          </w:p>
        </w:tc>
        <w:tc>
          <w:tcPr>
            <w:tcW w:type="dxa" w:w="11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r>
          </w:p>
        </w:tc>
        <w:tc>
          <w:tcPr>
            <w:tcW w:type="dxa" w:w="36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r>
          </w:p>
        </w:tc>
        <w:tc>
          <w:tcPr>
            <w:tcW w:type="dxa" w:w="24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Pass / Fail / Not used</w:t>
            </w:r>
          </w:p>
        </w:tc>
      </w:tr>
      <w:tr>
        <w:trPr>
          <w:cantSplit/>
        </w:trPr>
        <w:tc>
          <w:tcPr>
            <w:tcW w:type="dxa" w:w="22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Target health check</w:t>
            </w:r>
          </w:p>
        </w:tc>
        <w:tc>
          <w:tcPr>
            <w:tcW w:type="dxa" w:w="11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r>
          </w:p>
        </w:tc>
        <w:tc>
          <w:tcPr>
            <w:tcW w:type="dxa" w:w="36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r>
          </w:p>
        </w:tc>
        <w:tc>
          <w:tcPr>
            <w:tcW w:type="dxa" w:w="24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Pass / Fail</w:t>
            </w:r>
          </w:p>
        </w:tc>
      </w:tr>
      <w:tr>
        <w:trPr>
          <w:cantSplit/>
        </w:trPr>
        <w:tc>
          <w:tcPr>
            <w:tcW w:type="dxa" w:w="22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Overall result</w:t>
            </w:r>
          </w:p>
        </w:tc>
        <w:tc>
          <w:tcPr>
            <w:tcW w:type="dxa" w:w="11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r>
          </w:p>
        </w:tc>
        <w:tc>
          <w:tcPr>
            <w:tcW w:type="dxa" w:w="36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r>
          </w:p>
        </w:tc>
        <w:tc>
          <w:tcPr>
            <w:tcW w:type="dxa" w:w="24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PASS only if every required step is 0</w:t>
            </w:r>
          </w:p>
        </w:tc>
      </w:tr>
    </w:tbl>
    <w:p>
      <w:pPr>
        <w:spacing w:before="0" w:after="140" w:line="168" w:lineRule="auto"/>
      </w:pPr>
    </w:p>
    <w:p>
      <w:pPr>
        <w:pStyle w:val="Heading2"/>
        <w:keepNext/>
        <w:pageBreakBefore w:val="0"/>
      </w:pPr>
      <w:r>
        <w:rPr>
          <w:rFonts w:ascii="Calibri" w:hAnsi="Calibri" w:eastAsia="Calibri"/>
          <w:color w:val="0B2545"/>
          <w:sz w:val="22"/>
        </w:rPr>
        <w:t>Approvals</w:t>
      </w:r>
    </w:p>
    <w:tbl>
      <w:tblPr>
        <w:tblW w:type="dxa" w:w="9360"/>
        <w:jc w:val="left"/>
        <w:tblLayout w:type="fixed"/>
        <w:tblLook w:firstColumn="1" w:firstRow="1" w:lastColumn="0" w:lastRow="0" w:noHBand="0" w:noVBand="1" w:val="04A0"/>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Pr>
      <w:tblGrid>
        <w:gridCol w:w="2200"/>
        <w:gridCol w:w="3960"/>
        <w:gridCol w:w="3200"/>
      </w:tblGrid>
      <w:tr>
        <w:trPr>
          <w:cantSplit/>
          <w:tblHeader w:val="true"/>
        </w:trPr>
        <w:tc>
          <w:tcPr>
            <w:tcW w:type="dxa" w:w="2200"/>
            <w:tcMar>
              <w:top w:w="80" w:type="dxa"/>
              <w:bottom w:w="80" w:type="dxa"/>
              <w:start w:w="120" w:type="dxa"/>
              <w:end w:w="120" w:type="dxa"/>
            </w:tcMar>
            <w:vAlign w:val="center"/>
            <w:shd w:fill="E8EEF5" w:val="clear"/>
          </w:tcPr>
          <w:p>
            <w:pPr>
              <w:keepNext/>
              <w:spacing w:before="0" w:after="60" w:line="259" w:lineRule="auto"/>
            </w:pPr>
            <w:r>
              <w:rPr>
                <w:rFonts w:ascii="Calibri" w:hAnsi="Calibri" w:eastAsia="Calibri"/>
                <w:b/>
                <w:color w:val="0B2545"/>
                <w:sz w:val="19"/>
              </w:rPr>
              <w:t>Approval</w:t>
            </w:r>
          </w:p>
        </w:tc>
        <w:tc>
          <w:tcPr>
            <w:tcW w:type="dxa" w:w="3960"/>
            <w:tcMar>
              <w:top w:w="80" w:type="dxa"/>
              <w:bottom w:w="80" w:type="dxa"/>
              <w:start w:w="120" w:type="dxa"/>
              <w:end w:w="120" w:type="dxa"/>
            </w:tcMar>
            <w:vAlign w:val="center"/>
            <w:shd w:fill="E8EEF5" w:val="clear"/>
          </w:tcPr>
          <w:p>
            <w:pPr>
              <w:keepNext/>
              <w:spacing w:before="0" w:after="60" w:line="259" w:lineRule="auto"/>
            </w:pPr>
            <w:r>
              <w:rPr>
                <w:rFonts w:ascii="Calibri" w:hAnsi="Calibri" w:eastAsia="Calibri"/>
                <w:b/>
                <w:color w:val="0B2545"/>
                <w:sz w:val="19"/>
              </w:rPr>
              <w:t>Name / identifier</w:t>
            </w:r>
          </w:p>
        </w:tc>
        <w:tc>
          <w:tcPr>
            <w:tcW w:type="dxa" w:w="3200"/>
            <w:tcMar>
              <w:top w:w="80" w:type="dxa"/>
              <w:bottom w:w="80" w:type="dxa"/>
              <w:start w:w="120" w:type="dxa"/>
              <w:end w:w="120" w:type="dxa"/>
            </w:tcMar>
            <w:vAlign w:val="center"/>
            <w:shd w:fill="E8EEF5" w:val="clear"/>
          </w:tcPr>
          <w:p>
            <w:pPr>
              <w:keepNext/>
              <w:spacing w:before="0" w:after="60" w:line="259" w:lineRule="auto"/>
            </w:pPr>
            <w:r>
              <w:rPr>
                <w:rFonts w:ascii="Calibri" w:hAnsi="Calibri" w:eastAsia="Calibri"/>
                <w:b/>
                <w:color w:val="0B2545"/>
                <w:sz w:val="19"/>
              </w:rPr>
              <w:t>Initials or sign-off</w:t>
            </w:r>
          </w:p>
        </w:tc>
      </w:tr>
      <w:tr>
        <w:trPr>
          <w:cantSplit/>
        </w:trPr>
        <w:tc>
          <w:tcPr>
            <w:tcW w:type="dxa" w:w="2200"/>
            <w:tcMar>
              <w:top w:w="80" w:type="dxa"/>
              <w:bottom w:w="80" w:type="dxa"/>
              <w:start w:w="120" w:type="dxa"/>
              <w:end w:w="120" w:type="dxa"/>
            </w:tcMar>
            <w:vAlign w:val="center"/>
          </w:tcPr>
          <w:p>
            <w:pPr>
              <w:keepNext/>
              <w:spacing w:before="0" w:after="60" w:line="259" w:lineRule="auto"/>
            </w:pPr>
            <w:r>
              <w:rPr>
                <w:rFonts w:ascii="Calibri" w:hAnsi="Calibri" w:eastAsia="Calibri"/>
                <w:b w:val="0"/>
                <w:color w:val="0B2545"/>
                <w:sz w:val="19"/>
              </w:rPr>
              <w:t>Tester</w:t>
            </w:r>
          </w:p>
        </w:tc>
        <w:tc>
          <w:tcPr>
            <w:tcW w:type="dxa" w:w="3960"/>
            <w:tcMar>
              <w:top w:w="80" w:type="dxa"/>
              <w:bottom w:w="80" w:type="dxa"/>
              <w:start w:w="120" w:type="dxa"/>
              <w:end w:w="120" w:type="dxa"/>
            </w:tcMar>
            <w:vAlign w:val="center"/>
          </w:tcPr>
          <w:p>
            <w:pPr>
              <w:keepNext/>
              <w:spacing w:before="0" w:after="60" w:line="259" w:lineRule="auto"/>
            </w:pPr>
            <w:r>
              <w:rPr>
                <w:rFonts w:ascii="Calibri" w:hAnsi="Calibri" w:eastAsia="Calibri"/>
                <w:b w:val="0"/>
                <w:color w:val="0B2545"/>
                <w:sz w:val="19"/>
              </w:rPr>
            </w:r>
          </w:p>
        </w:tc>
        <w:tc>
          <w:tcPr>
            <w:tcW w:type="dxa" w:w="3200"/>
            <w:tcMar>
              <w:top w:w="80" w:type="dxa"/>
              <w:bottom w:w="80" w:type="dxa"/>
              <w:start w:w="120" w:type="dxa"/>
              <w:end w:w="120" w:type="dxa"/>
            </w:tcMar>
            <w:vAlign w:val="center"/>
          </w:tcPr>
          <w:p>
            <w:pPr>
              <w:keepNext/>
              <w:spacing w:before="0" w:after="60" w:line="259" w:lineRule="auto"/>
            </w:pPr>
            <w:r>
              <w:rPr>
                <w:rFonts w:ascii="Calibri" w:hAnsi="Calibri" w:eastAsia="Calibri"/>
                <w:b w:val="0"/>
                <w:color w:val="0B2545"/>
                <w:sz w:val="19"/>
              </w:rPr>
            </w:r>
          </w:p>
        </w:tc>
      </w:tr>
      <w:tr>
        <w:trPr>
          <w:cantSplit/>
        </w:trPr>
        <w:tc>
          <w:tcPr>
            <w:tcW w:type="dxa" w:w="2200"/>
            <w:tcMar>
              <w:top w:w="80" w:type="dxa"/>
              <w:bottom w:w="80" w:type="dxa"/>
              <w:start w:w="120" w:type="dxa"/>
              <w:end w:w="120" w:type="dxa"/>
            </w:tcMar>
            <w:vAlign w:val="center"/>
            <w:shd w:fill="F7F9FC" w:val="clear"/>
          </w:tcPr>
          <w:p>
            <w:pPr>
              <w:keepNext/>
              <w:spacing w:before="0" w:after="60" w:line="259" w:lineRule="auto"/>
            </w:pPr>
            <w:r>
              <w:rPr>
                <w:rFonts w:ascii="Calibri" w:hAnsi="Calibri" w:eastAsia="Calibri"/>
                <w:b w:val="0"/>
                <w:color w:val="0B2545"/>
                <w:sz w:val="19"/>
              </w:rPr>
              <w:t>Release owner</w:t>
            </w:r>
          </w:p>
        </w:tc>
        <w:tc>
          <w:tcPr>
            <w:tcW w:type="dxa" w:w="3960"/>
            <w:tcMar>
              <w:top w:w="80" w:type="dxa"/>
              <w:bottom w:w="80" w:type="dxa"/>
              <w:start w:w="120" w:type="dxa"/>
              <w:end w:w="120" w:type="dxa"/>
            </w:tcMar>
            <w:vAlign w:val="center"/>
            <w:shd w:fill="F7F9FC" w:val="clear"/>
          </w:tcPr>
          <w:p>
            <w:pPr>
              <w:keepNext/>
              <w:spacing w:before="0" w:after="60" w:line="259" w:lineRule="auto"/>
            </w:pPr>
            <w:r>
              <w:rPr>
                <w:rFonts w:ascii="Calibri" w:hAnsi="Calibri" w:eastAsia="Calibri"/>
                <w:b w:val="0"/>
                <w:color w:val="0B2545"/>
                <w:sz w:val="19"/>
              </w:rPr>
            </w:r>
          </w:p>
        </w:tc>
        <w:tc>
          <w:tcPr>
            <w:tcW w:type="dxa" w:w="3200"/>
            <w:tcMar>
              <w:top w:w="80" w:type="dxa"/>
              <w:bottom w:w="80" w:type="dxa"/>
              <w:start w:w="120" w:type="dxa"/>
              <w:end w:w="120" w:type="dxa"/>
            </w:tcMar>
            <w:vAlign w:val="center"/>
            <w:shd w:fill="F7F9FC" w:val="clear"/>
          </w:tcPr>
          <w:p>
            <w:pPr>
              <w:keepNext/>
              <w:spacing w:before="0" w:after="60" w:line="259" w:lineRule="auto"/>
            </w:pPr>
            <w:r>
              <w:rPr>
                <w:rFonts w:ascii="Calibri" w:hAnsi="Calibri" w:eastAsia="Calibri"/>
                <w:b w:val="0"/>
                <w:color w:val="0B2545"/>
                <w:sz w:val="19"/>
              </w:rPr>
            </w:r>
          </w:p>
        </w:tc>
      </w:tr>
      <w:tr>
        <w:trPr>
          <w:cantSplit/>
        </w:trPr>
        <w:tc>
          <w:tcPr>
            <w:tcW w:type="dxa" w:w="2200"/>
            <w:tcMar>
              <w:top w:w="80" w:type="dxa"/>
              <w:bottom w:w="80" w:type="dxa"/>
              <w:start w:w="120" w:type="dxa"/>
              <w:end w:w="120" w:type="dxa"/>
            </w:tcMar>
            <w:vAlign w:val="center"/>
          </w:tcPr>
          <w:p>
            <w:pPr>
              <w:keepNext/>
              <w:spacing w:before="0" w:after="60" w:line="259" w:lineRule="auto"/>
            </w:pPr>
            <w:r>
              <w:rPr>
                <w:rFonts w:ascii="Calibri" w:hAnsi="Calibri" w:eastAsia="Calibri"/>
                <w:b w:val="0"/>
                <w:color w:val="0B2545"/>
                <w:sz w:val="19"/>
              </w:rPr>
              <w:t>Server owner</w:t>
            </w:r>
          </w:p>
        </w:tc>
        <w:tc>
          <w:tcPr>
            <w:tcW w:type="dxa" w:w="3960"/>
            <w:tcMar>
              <w:top w:w="80" w:type="dxa"/>
              <w:bottom w:w="80" w:type="dxa"/>
              <w:start w:w="120" w:type="dxa"/>
              <w:end w:w="120" w:type="dxa"/>
            </w:tcMar>
            <w:vAlign w:val="center"/>
          </w:tcPr>
          <w:p>
            <w:pPr>
              <w:keepNext/>
              <w:spacing w:before="0" w:after="60" w:line="259" w:lineRule="auto"/>
            </w:pPr>
            <w:r>
              <w:rPr>
                <w:rFonts w:ascii="Calibri" w:hAnsi="Calibri" w:eastAsia="Calibri"/>
                <w:b w:val="0"/>
                <w:color w:val="0B2545"/>
                <w:sz w:val="19"/>
              </w:rPr>
            </w:r>
          </w:p>
        </w:tc>
        <w:tc>
          <w:tcPr>
            <w:tcW w:type="dxa" w:w="3200"/>
            <w:tcMar>
              <w:top w:w="80" w:type="dxa"/>
              <w:bottom w:w="80" w:type="dxa"/>
              <w:start w:w="120" w:type="dxa"/>
              <w:end w:w="120" w:type="dxa"/>
            </w:tcMar>
            <w:vAlign w:val="center"/>
          </w:tcPr>
          <w:p>
            <w:pPr>
              <w:keepNext/>
              <w:spacing w:before="0" w:after="60" w:line="259" w:lineRule="auto"/>
            </w:pPr>
            <w:r>
              <w:rPr>
                <w:rFonts w:ascii="Calibri" w:hAnsi="Calibri" w:eastAsia="Calibri"/>
                <w:b w:val="0"/>
                <w:color w:val="0B2545"/>
                <w:sz w:val="19"/>
              </w:rPr>
            </w:r>
          </w:p>
        </w:tc>
      </w:tr>
      <w:tr>
        <w:trPr>
          <w:cantSplit/>
        </w:trPr>
        <w:tc>
          <w:tcPr>
            <w:tcW w:type="dxa" w:w="2200"/>
            <w:tcMar>
              <w:top w:w="80" w:type="dxa"/>
              <w:bottom w:w="80" w:type="dxa"/>
              <w:start w:w="120" w:type="dxa"/>
              <w:end w:w="120" w:type="dxa"/>
            </w:tcMar>
            <w:vAlign w:val="center"/>
            <w:shd w:fill="F7F9FC" w:val="clear"/>
          </w:tcPr>
          <w:p>
            <w:pPr>
              <w:keepNext/>
              <w:spacing w:before="0" w:after="60" w:line="259" w:lineRule="auto"/>
            </w:pPr>
            <w:r>
              <w:rPr>
                <w:rFonts w:ascii="Calibri" w:hAnsi="Calibri" w:eastAsia="Calibri"/>
                <w:b w:val="0"/>
                <w:color w:val="0B2545"/>
                <w:sz w:val="19"/>
              </w:rPr>
              <w:t>Change ticket</w:t>
            </w:r>
          </w:p>
        </w:tc>
        <w:tc>
          <w:tcPr>
            <w:tcW w:type="dxa" w:w="3960"/>
            <w:tcMar>
              <w:top w:w="80" w:type="dxa"/>
              <w:bottom w:w="80" w:type="dxa"/>
              <w:start w:w="120" w:type="dxa"/>
              <w:end w:w="120" w:type="dxa"/>
            </w:tcMar>
            <w:vAlign w:val="center"/>
            <w:shd w:fill="F7F9FC" w:val="clear"/>
          </w:tcPr>
          <w:p>
            <w:pPr>
              <w:keepNext/>
              <w:spacing w:before="0" w:after="60" w:line="259" w:lineRule="auto"/>
            </w:pPr>
            <w:r>
              <w:rPr>
                <w:rFonts w:ascii="Calibri" w:hAnsi="Calibri" w:eastAsia="Calibri"/>
                <w:b w:val="0"/>
                <w:color w:val="0B2545"/>
                <w:sz w:val="19"/>
              </w:rPr>
            </w:r>
          </w:p>
        </w:tc>
        <w:tc>
          <w:tcPr>
            <w:tcW w:type="dxa" w:w="3200"/>
            <w:tcMar>
              <w:top w:w="80" w:type="dxa"/>
              <w:bottom w:w="80" w:type="dxa"/>
              <w:start w:w="120" w:type="dxa"/>
              <w:end w:w="120" w:type="dxa"/>
            </w:tcMar>
            <w:vAlign w:val="center"/>
            <w:shd w:fill="F7F9FC" w:val="clear"/>
          </w:tcPr>
          <w:p>
            <w:pPr>
              <w:keepNext/>
              <w:spacing w:before="0" w:after="60" w:line="259" w:lineRule="auto"/>
            </w:pPr>
            <w:r>
              <w:rPr>
                <w:rFonts w:ascii="Calibri" w:hAnsi="Calibri" w:eastAsia="Calibri"/>
                <w:b w:val="0"/>
                <w:color w:val="0B2545"/>
                <w:sz w:val="19"/>
              </w:rPr>
            </w:r>
          </w:p>
        </w:tc>
      </w:tr>
      <w:tr>
        <w:trPr>
          <w:cantSplit/>
        </w:trPr>
        <w:tc>
          <w:tcPr>
            <w:tcW w:type="dxa" w:w="2200"/>
            <w:tcMar>
              <w:top w:w="80" w:type="dxa"/>
              <w:bottom w:w="80" w:type="dxa"/>
              <w:start w:w="120" w:type="dxa"/>
              <w:end w:w="120" w:type="dxa"/>
            </w:tcMar>
            <w:vAlign w:val="center"/>
          </w:tcPr>
          <w:p>
            <w:pPr>
              <w:keepNext/>
              <w:spacing w:before="0" w:after="60" w:line="259" w:lineRule="auto"/>
            </w:pPr>
            <w:r>
              <w:rPr>
                <w:rFonts w:ascii="Calibri" w:hAnsi="Calibri" w:eastAsia="Calibri"/>
                <w:b w:val="0"/>
                <w:color w:val="0B2545"/>
                <w:sz w:val="19"/>
              </w:rPr>
              <w:t>Date / time</w:t>
            </w:r>
          </w:p>
        </w:tc>
        <w:tc>
          <w:tcPr>
            <w:tcW w:type="dxa" w:w="3960"/>
            <w:tcMar>
              <w:top w:w="80" w:type="dxa"/>
              <w:bottom w:w="80" w:type="dxa"/>
              <w:start w:w="120" w:type="dxa"/>
              <w:end w:w="120" w:type="dxa"/>
            </w:tcMar>
            <w:vAlign w:val="center"/>
          </w:tcPr>
          <w:p>
            <w:pPr>
              <w:keepNext/>
              <w:spacing w:before="0" w:after="60" w:line="259" w:lineRule="auto"/>
            </w:pPr>
            <w:r>
              <w:rPr>
                <w:rFonts w:ascii="Calibri" w:hAnsi="Calibri" w:eastAsia="Calibri"/>
                <w:b w:val="0"/>
                <w:color w:val="0B2545"/>
                <w:sz w:val="19"/>
              </w:rPr>
            </w:r>
          </w:p>
        </w:tc>
        <w:tc>
          <w:tcPr>
            <w:tcW w:type="dxa" w:w="32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r>
          </w:p>
        </w:tc>
      </w:tr>
    </w:tbl>
    <w:p>
      <w:pPr>
        <w:spacing w:before="0" w:after="140" w:line="168" w:lineRule="auto"/>
      </w:pPr>
    </w:p>
    <w:p>
      <w:pPr>
        <w:pStyle w:val="Heading2"/>
        <w:keepNext/>
        <w:pageBreakBefore w:val="0"/>
      </w:pPr>
      <w:r>
        <w:rPr>
          <w:rFonts w:ascii="Calibri" w:hAnsi="Calibri" w:eastAsia="Calibri"/>
          <w:color w:val="0B2545"/>
          <w:sz w:val="22"/>
        </w:rPr>
        <w:t>Escalation packet</w:t>
      </w:r>
    </w:p>
    <w:p>
      <w:pPr>
        <w:numPr>
          <w:ilvl w:val="0"/>
          <w:numId w:val="12"/>
        </w:numPr>
        <w:spacing w:after="80" w:line="300" w:lineRule="auto"/>
      </w:pPr>
      <w:r>
        <w:rPr>
          <w:rFonts w:ascii="Calibri" w:hAnsi="Calibri" w:eastAsia="Calibri"/>
          <w:color w:val="0B2545"/>
          <w:sz w:val="22"/>
        </w:rPr>
        <w:t>Step and script that failed.</w:t>
      </w:r>
    </w:p>
    <w:p>
      <w:pPr>
        <w:numPr>
          <w:ilvl w:val="0"/>
          <w:numId w:val="12"/>
        </w:numPr>
        <w:spacing w:after="80" w:line="300" w:lineRule="auto"/>
      </w:pPr>
      <w:r>
        <w:rPr>
          <w:rFonts w:ascii="Calibri" w:hAnsi="Calibri" w:eastAsia="Calibri"/>
          <w:color w:val="0B2545"/>
          <w:sz w:val="22"/>
        </w:rPr>
        <w:t>Server name and date/time.</w:t>
      </w:r>
    </w:p>
    <w:p>
      <w:pPr>
        <w:numPr>
          <w:ilvl w:val="0"/>
          <w:numId w:val="12"/>
        </w:numPr>
        <w:spacing w:after="80" w:line="300" w:lineRule="auto"/>
      </w:pPr>
      <w:r>
        <w:rPr>
          <w:rFonts w:ascii="Calibri" w:hAnsi="Calibri" w:eastAsia="Calibri"/>
          <w:color w:val="0B2545"/>
          <w:sz w:val="22"/>
        </w:rPr>
        <w:t>Processor, release tag, and commit or TFS label.</w:t>
      </w:r>
    </w:p>
    <w:p>
      <w:pPr>
        <w:numPr>
          <w:ilvl w:val="0"/>
          <w:numId w:val="12"/>
        </w:numPr>
        <w:spacing w:after="80" w:line="300" w:lineRule="auto"/>
      </w:pPr>
      <w:r>
        <w:rPr>
          <w:rFonts w:ascii="Calibri" w:hAnsi="Calibri" w:eastAsia="Calibri"/>
          <w:color w:val="0B2545"/>
          <w:sz w:val="22"/>
        </w:rPr>
        <w:t>Exit code.</w:t>
      </w:r>
    </w:p>
    <w:p>
      <w:pPr>
        <w:numPr>
          <w:ilvl w:val="0"/>
          <w:numId w:val="12"/>
        </w:numPr>
        <w:spacing w:after="80" w:line="300" w:lineRule="auto"/>
      </w:pPr>
      <w:r>
        <w:rPr>
          <w:rFonts w:ascii="Calibri" w:hAnsi="Calibri" w:eastAsia="Calibri"/>
          <w:color w:val="0B2545"/>
          <w:sz w:val="22"/>
        </w:rPr>
        <w:t>Sanitized command.</w:t>
      </w:r>
    </w:p>
    <w:p>
      <w:pPr>
        <w:numPr>
          <w:ilvl w:val="0"/>
          <w:numId w:val="12"/>
        </w:numPr>
        <w:spacing w:after="80" w:line="300" w:lineRule="auto"/>
      </w:pPr>
      <w:r>
        <w:rPr>
          <w:rFonts w:ascii="Calibri" w:hAnsi="Calibri" w:eastAsia="Calibri"/>
          <w:color w:val="0B2545"/>
          <w:sz w:val="22"/>
        </w:rPr>
        <w:t>Relevant WARN, MISSING, CHANGED, EXTRA, trust, or health lines.</w:t>
      </w:r>
    </w:p>
    <w:p>
      <w:pPr>
        <w:numPr>
          <w:ilvl w:val="0"/>
          <w:numId w:val="12"/>
        </w:numPr>
        <w:spacing w:after="80" w:line="300" w:lineRule="auto"/>
      </w:pPr>
      <w:r>
        <w:rPr>
          <w:rFonts w:ascii="Calibri" w:hAnsi="Calibri" w:eastAsia="Calibri"/>
          <w:color w:val="0B2545"/>
          <w:sz w:val="22"/>
        </w:rPr>
        <w:t>JSONL log path and a screenshot of the final output.</w:t>
      </w:r>
    </w:p>
    <w:p>
      <w:pPr>
        <w:spacing w:before="80" w:after="160" w:line="276" w:lineRule="auto"/>
        <w:ind w:left="173" w:right="115"/>
        <w:shd w:fill="FDECEC" w:val="clear"/>
        <w:pBdr>
          <w:left w:val="single" w:sz="18" w:space="10" w:color="9B1C1C"/>
        </w:pBdr>
      </w:pPr>
      <w:r>
        <w:rPr>
          <w:rFonts w:ascii="Calibri" w:hAnsi="Calibri" w:eastAsia="Calibri"/>
          <w:b/>
          <w:color w:val="0B2545"/>
          <w:sz w:val="21"/>
        </w:rPr>
        <w:t xml:space="preserve">After escalation: </w:t>
      </w:r>
      <w:r>
        <w:rPr>
          <w:rFonts w:ascii="Calibri" w:hAnsi="Calibri" w:eastAsia="Calibri"/>
          <w:color w:val="0B2545"/>
          <w:sz w:val="21"/>
        </w:rPr>
        <w:t>Stop. Do not try unapproved alternate commands, recapture the baseline, or perform a deployment unless the release owner and server owner give a documented next step.</w:t>
      </w:r>
    </w:p>
    <w:p>
      <w:r>
        <w:rPr>
          <w:rFonts w:ascii="Calibri" w:hAnsi="Calibri" w:eastAsia="Calibri"/>
          <w:color w:val="0B2545"/>
          <w:sz w:val="22"/>
        </w:rPr>
        <w:br w:type="page"/>
      </w:r>
    </w:p>
    <w:p>
      <w:pPr>
        <w:pStyle w:val="Heading1"/>
        <w:keepNext/>
        <w:pageBreakBefore w:val="0"/>
      </w:pPr>
      <w:r>
        <w:rPr>
          <w:rFonts w:ascii="Calibri" w:hAnsi="Calibri" w:eastAsia="Calibri"/>
          <w:color w:val="0B2545"/>
          <w:sz w:val="22"/>
        </w:rPr>
        <w:t>Appendix A - Operations-only paths</w:t>
      </w:r>
    </w:p>
    <w:p>
      <w:pPr>
        <w:spacing w:before="80" w:after="160" w:line="276" w:lineRule="auto"/>
        <w:ind w:left="173" w:right="115"/>
        <w:shd w:fill="FDECEC" w:val="clear"/>
        <w:pBdr>
          <w:left w:val="single" w:sz="18" w:space="10" w:color="9B1C1C"/>
        </w:pBdr>
      </w:pPr>
      <w:r>
        <w:rPr>
          <w:rFonts w:ascii="Calibri" w:hAnsi="Calibri" w:eastAsia="Calibri"/>
          <w:b/>
          <w:color w:val="0B2545"/>
          <w:sz w:val="21"/>
        </w:rPr>
        <w:t xml:space="preserve">Not part of the normal tester path: </w:t>
      </w:r>
      <w:r>
        <w:rPr>
          <w:rFonts w:ascii="Calibri" w:hAnsi="Calibri" w:eastAsia="Calibri"/>
          <w:color w:val="0B2545"/>
          <w:sz w:val="21"/>
        </w:rPr>
        <w:t>Deployment and drift operations require separate ownership, authorization, and completed runbook data. The commands below do not authorize execution.</w:t>
      </w:r>
    </w:p>
    <w:p>
      <w:pPr>
        <w:pStyle w:val="Heading2"/>
        <w:keepNext/>
        <w:pageBreakBefore w:val="0"/>
      </w:pPr>
      <w:r>
        <w:rPr>
          <w:rFonts w:ascii="Calibri" w:hAnsi="Calibri" w:eastAsia="Calibri"/>
          <w:color w:val="0B2545"/>
          <w:sz w:val="22"/>
        </w:rPr>
        <w:t>UAT DBQ deployment gate only (-WhatIf)</w:t>
      </w:r>
    </w:p>
    <w:p>
      <w:r>
        <w:rPr>
          <w:rFonts w:ascii="Calibri" w:hAnsi="Calibri" w:eastAsia="Calibri"/>
          <w:i w:val="0"/>
          <w:color w:val="0B2545"/>
          <w:sz w:val="22"/>
        </w:rPr>
        <w:t>The checked-in UAT DBQ wrapper is the only filled processor wrapper. It targets VESMSEGRESSUAT. The scheduled-task name and fresh-log directory must be confirmed against the current Outbound Deployment Steps runbook before the switch below is used.</w:t>
      </w:r>
    </w:p>
    <w:p>
      <w:pPr>
        <w:pStyle w:val="CodeBlock"/>
        <w:keepLines/>
        <w:shd w:fill="F4F6F9" w:val="clear"/>
        <w:pBdr>
          <w:left w:val="single" w:sz="12" w:space="8" w:color="2E74B5"/>
        </w:pBdr>
      </w:pPr>
      <w:r>
        <w:rPr>
          <w:rFonts w:ascii="Consolas" w:hAnsi="Consolas" w:eastAsia="Consolas"/>
          <w:color w:val="0B2545"/>
          <w:sz w:val="17"/>
        </w:rPr>
        <w:t>.\processors\Deploy-OutboundDBQ-uat.ps1 `</w:t>
        <w:br/>
        <w:t xml:space="preserve">  -StagedRoot 'REPLACE_WITH_STAGED_ROOT' `</w:t>
        <w:br/>
        <w:t xml:space="preserve">  -StagedCommit 'REPLACE_WITH_STAGED_COMMIT' `</w:t>
        <w:br/>
        <w:t xml:space="preserve">  -ReleaseTag $ReleaseTag `</w:t>
        <w:br/>
        <w:t xml:space="preserve">  -BaselineRepo $ArchiveRepo `</w:t>
        <w:br/>
        <w:t xml:space="preserve">  -ConfirmedRunbookValues `</w:t>
        <w:br/>
        <w:t xml:space="preserve">  -Region $Region `</w:t>
        <w:br/>
        <w:t xml:space="preserve">  -WhatIf</w:t>
        <w:br/>
        <w:t>$LASTEXITCODE</w:t>
      </w:r>
    </w:p>
    <w:p>
      <w:pPr>
        <w:spacing w:before="80" w:after="160" w:line="276" w:lineRule="auto"/>
        <w:ind w:left="173" w:right="115"/>
        <w:shd w:fill="FFF4CC" w:val="clear"/>
        <w:pBdr>
          <w:left w:val="single" w:sz="18" w:space="10" w:color="B7791F"/>
        </w:pBdr>
      </w:pPr>
      <w:r>
        <w:rPr>
          <w:rFonts w:ascii="Calibri" w:hAnsi="Calibri" w:eastAsia="Calibri"/>
          <w:b/>
          <w:color w:val="0B2545"/>
          <w:sz w:val="21"/>
        </w:rPr>
        <w:t xml:space="preserve">Expected: </w:t>
      </w:r>
      <w:r>
        <w:rPr>
          <w:rFonts w:ascii="Calibri" w:hAnsi="Calibri" w:eastAsia="Calibri"/>
          <w:color w:val="0B2545"/>
          <w:sz w:val="21"/>
        </w:rPr>
        <w:t>Exit 0 means the gate passed and no files were copied. Any other code stops the pilot. A real deployment is deliberately not included in this guide.</w:t>
      </w:r>
    </w:p>
    <w:p>
      <w:pPr>
        <w:pStyle w:val="Heading2"/>
        <w:keepNext/>
        <w:pageBreakBefore w:val="0"/>
      </w:pPr>
      <w:r>
        <w:rPr>
          <w:rFonts w:ascii="Calibri" w:hAnsi="Calibri" w:eastAsia="Calibri"/>
          <w:color w:val="0B2545"/>
          <w:sz w:val="22"/>
        </w:rPr>
        <w:t>Why production deployment is held</w:t>
      </w:r>
    </w:p>
    <w:p>
      <w:pPr>
        <w:numPr>
          <w:ilvl w:val="0"/>
          <w:numId w:val="10"/>
        </w:numPr>
        <w:spacing w:after="80" w:line="300" w:lineRule="auto"/>
      </w:pPr>
      <w:r>
        <w:rPr>
          <w:rFonts w:ascii="Calibri" w:hAnsi="Calibri" w:eastAsia="Calibri"/>
          <w:color w:val="0B2545"/>
          <w:sz w:val="22"/>
        </w:rPr>
        <w:t>Production processor paths and wrappers are not complete.</w:t>
      </w:r>
    </w:p>
    <w:p>
      <w:pPr>
        <w:numPr>
          <w:ilvl w:val="0"/>
          <w:numId w:val="10"/>
        </w:numPr>
        <w:spacing w:after="80" w:line="300" w:lineRule="auto"/>
      </w:pPr>
      <w:r>
        <w:rPr>
          <w:rFonts w:ascii="Calibri" w:hAnsi="Calibri" w:eastAsia="Calibri"/>
          <w:color w:val="0B2545"/>
          <w:sz w:val="22"/>
        </w:rPr>
        <w:t>Citrix targets and paths are not documented.</w:t>
      </w:r>
    </w:p>
    <w:p>
      <w:pPr>
        <w:numPr>
          <w:ilvl w:val="0"/>
          <w:numId w:val="10"/>
        </w:numPr>
        <w:spacing w:after="80" w:line="300" w:lineRule="auto"/>
      </w:pPr>
      <w:r>
        <w:rPr>
          <w:rFonts w:ascii="Calibri" w:hAnsi="Calibri" w:eastAsia="Calibri"/>
          <w:color w:val="0B2545"/>
          <w:sz w:val="22"/>
        </w:rPr>
        <w:t>The current robocopy /MIR behavior can overwrite environment-specific config.</w:t>
      </w:r>
    </w:p>
    <w:p>
      <w:pPr>
        <w:numPr>
          <w:ilvl w:val="0"/>
          <w:numId w:val="10"/>
        </w:numPr>
        <w:spacing w:after="80" w:line="300" w:lineRule="auto"/>
      </w:pPr>
      <w:r>
        <w:rPr>
          <w:rFonts w:ascii="Calibri" w:hAnsi="Calibri" w:eastAsia="Calibri"/>
          <w:color w:val="0B2545"/>
          <w:sz w:val="22"/>
        </w:rPr>
        <w:t>The UAT wrapper's task and log values still require confirmation.</w:t>
      </w:r>
    </w:p>
    <w:p>
      <w:pPr>
        <w:numPr>
          <w:ilvl w:val="0"/>
          <w:numId w:val="10"/>
        </w:numPr>
        <w:spacing w:after="80" w:line="300" w:lineRule="auto"/>
      </w:pPr>
      <w:r>
        <w:rPr>
          <w:rFonts w:ascii="Calibri" w:hAnsi="Calibri" w:eastAsia="Calibri"/>
          <w:color w:val="0B2545"/>
          <w:sz w:val="22"/>
        </w:rPr>
        <w:t>The outbound console-EXE stop/restart flow needs a UAT pilot before production use.</w:t>
      </w:r>
    </w:p>
    <w:p>
      <w:pPr>
        <w:pStyle w:val="Heading2"/>
        <w:keepNext/>
        <w:pageBreakBefore w:val="0"/>
      </w:pPr>
      <w:r>
        <w:rPr>
          <w:rFonts w:ascii="Calibri" w:hAnsi="Calibri" w:eastAsia="Calibri"/>
          <w:color w:val="0B2545"/>
          <w:sz w:val="22"/>
        </w:rPr>
        <w:t>Why drift is held</w:t>
      </w:r>
    </w:p>
    <w:p>
      <w:r>
        <w:rPr>
          <w:rFonts w:ascii="Calibri" w:hAnsi="Calibri" w:eastAsia="Calibri"/>
          <w:i w:val="0"/>
          <w:color w:val="0B2545"/>
          <w:sz w:val="22"/>
        </w:rPr>
        <w:t>Start-DriftRunner.ps1 is designed to fail closed through the validated target inventory. The checked-in targets.json remains inventoryComplete=false, includes a needs-confirmation entry, contains a TBD release tag, and does not include Citrix targets. Do not schedule or run drift as proof of coverage until operations completes and approves the inventory.</w:t>
      </w:r>
    </w:p>
    <w:p>
      <w:pPr>
        <w:pStyle w:val="Heading2"/>
        <w:keepNext/>
        <w:pageBreakBefore w:val="0"/>
      </w:pPr>
      <w:r>
        <w:rPr>
          <w:rFonts w:ascii="Calibri" w:hAnsi="Calibri" w:eastAsia="Calibri"/>
          <w:color w:val="0B2545"/>
          <w:sz w:val="22"/>
        </w:rPr>
        <w:t>Server map (reference only)</w:t>
      </w:r>
    </w:p>
    <w:tbl>
      <w:tblPr>
        <w:tblW w:type="dxa" w:w="9360"/>
        <w:jc w:val="left"/>
        <w:tblLayout w:type="fixed"/>
        <w:tblLook w:firstColumn="1" w:firstRow="1" w:lastColumn="0" w:lastRow="0" w:noHBand="0" w:noVBand="1" w:val="04A0"/>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Pr>
      <w:tblGrid>
        <w:gridCol w:w="1100"/>
        <w:gridCol w:w="2600"/>
        <w:gridCol w:w="5660"/>
      </w:tblGrid>
      <w:tr>
        <w:trPr>
          <w:cantSplit/>
          <w:tblHeader w:val="true"/>
        </w:trPr>
        <w:tc>
          <w:tcPr>
            <w:tcW w:type="dxa" w:w="110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Tier</w:t>
            </w:r>
          </w:p>
        </w:tc>
        <w:tc>
          <w:tcPr>
            <w:tcW w:type="dxa" w:w="260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Server</w:t>
            </w:r>
          </w:p>
        </w:tc>
        <w:tc>
          <w:tcPr>
            <w:tcW w:type="dxa" w:w="566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Documented role / processors</w:t>
            </w:r>
          </w:p>
        </w:tc>
      </w:tr>
      <w:tr>
        <w:trPr>
          <w:cantSplit/>
        </w:trPr>
        <w:tc>
          <w:tcPr>
            <w:tcW w:type="dxa" w:w="11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DEV</w:t>
            </w:r>
          </w:p>
        </w:tc>
        <w:tc>
          <w:tcPr>
            <w:tcW w:type="dxa" w:w="26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VESDEVAPPS01</w:t>
            </w:r>
          </w:p>
        </w:tc>
        <w:tc>
          <w:tcPr>
            <w:tcW w:type="dxa" w:w="56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Inbound and outbound</w:t>
            </w:r>
          </w:p>
        </w:tc>
      </w:tr>
      <w:tr>
        <w:trPr>
          <w:cantSplit/>
        </w:trPr>
        <w:tc>
          <w:tcPr>
            <w:tcW w:type="dxa" w:w="11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UAT</w:t>
            </w:r>
          </w:p>
        </w:tc>
        <w:tc>
          <w:tcPr>
            <w:tcW w:type="dxa" w:w="26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VESEMSINGRESUAT</w:t>
            </w:r>
          </w:p>
        </w:tc>
        <w:tc>
          <w:tcPr>
            <w:tcW w:type="dxa" w:w="56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Inbound</w:t>
            </w:r>
          </w:p>
        </w:tc>
      </w:tr>
      <w:tr>
        <w:trPr>
          <w:cantSplit/>
        </w:trPr>
        <w:tc>
          <w:tcPr>
            <w:tcW w:type="dxa" w:w="11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UAT</w:t>
            </w:r>
          </w:p>
        </w:tc>
        <w:tc>
          <w:tcPr>
            <w:tcW w:type="dxa" w:w="26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VESMSEGRESSUAT</w:t>
            </w:r>
          </w:p>
        </w:tc>
        <w:tc>
          <w:tcPr>
            <w:tcW w:type="dxa" w:w="56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Outbound Ack, DBQ, XML</w:t>
            </w:r>
          </w:p>
        </w:tc>
      </w:tr>
      <w:tr>
        <w:trPr>
          <w:cantSplit/>
        </w:trPr>
        <w:tc>
          <w:tcPr>
            <w:tcW w:type="dxa" w:w="11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PROD</w:t>
            </w:r>
          </w:p>
        </w:tc>
        <w:tc>
          <w:tcPr>
            <w:tcW w:type="dxa" w:w="26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VESEMSINGRESS01</w:t>
            </w:r>
          </w:p>
        </w:tc>
        <w:tc>
          <w:tcPr>
            <w:tcW w:type="dxa" w:w="56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Real-time inbound</w:t>
            </w:r>
          </w:p>
        </w:tc>
      </w:tr>
      <w:tr>
        <w:trPr>
          <w:cantSplit/>
        </w:trPr>
        <w:tc>
          <w:tcPr>
            <w:tcW w:type="dxa" w:w="11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PROD</w:t>
            </w:r>
          </w:p>
        </w:tc>
        <w:tc>
          <w:tcPr>
            <w:tcW w:type="dxa" w:w="26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VESEMSINGRESS02</w:t>
            </w:r>
          </w:p>
        </w:tc>
        <w:tc>
          <w:tcPr>
            <w:tcW w:type="dxa" w:w="56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Inbound handler</w:t>
            </w:r>
          </w:p>
        </w:tc>
      </w:tr>
      <w:tr>
        <w:trPr>
          <w:cantSplit/>
        </w:trPr>
        <w:tc>
          <w:tcPr>
            <w:tcW w:type="dxa" w:w="11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PROD</w:t>
            </w:r>
          </w:p>
        </w:tc>
        <w:tc>
          <w:tcPr>
            <w:tcW w:type="dxa" w:w="26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VESEMSEGRESS01</w:t>
            </w:r>
          </w:p>
        </w:tc>
        <w:tc>
          <w:tcPr>
            <w:tcW w:type="dxa" w:w="56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Outbound XML / events</w:t>
            </w:r>
          </w:p>
        </w:tc>
      </w:tr>
      <w:tr>
        <w:trPr>
          <w:cantSplit/>
        </w:trPr>
        <w:tc>
          <w:tcPr>
            <w:tcW w:type="dxa" w:w="11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PROD</w:t>
            </w:r>
          </w:p>
        </w:tc>
        <w:tc>
          <w:tcPr>
            <w:tcW w:type="dxa" w:w="26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VESEMSEGRESS02</w:t>
            </w:r>
          </w:p>
        </w:tc>
        <w:tc>
          <w:tcPr>
            <w:tcW w:type="dxa" w:w="56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Outbound Ack, DBQ, XML / events</w:t>
            </w:r>
          </w:p>
        </w:tc>
      </w:tr>
      <w:tr>
        <w:trPr>
          <w:cantSplit/>
        </w:trPr>
        <w:tc>
          <w:tcPr>
            <w:tcW w:type="dxa" w:w="11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PROD</w:t>
            </w:r>
          </w:p>
        </w:tc>
        <w:tc>
          <w:tcPr>
            <w:tcW w:type="dxa" w:w="26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VESEMSEGRESS03</w:t>
            </w:r>
          </w:p>
        </w:tc>
        <w:tc>
          <w:tcPr>
            <w:tcW w:type="dxa" w:w="56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Outbound XML / events, DBQ</w:t>
            </w:r>
          </w:p>
        </w:tc>
      </w:tr>
      <w:tr>
        <w:trPr>
          <w:cantSplit/>
        </w:trPr>
        <w:tc>
          <w:tcPr>
            <w:tcW w:type="dxa" w:w="11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PENDING</w:t>
            </w:r>
          </w:p>
        </w:tc>
        <w:tc>
          <w:tcPr>
            <w:tcW w:type="dxa" w:w="26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Citrix servers</w:t>
            </w:r>
          </w:p>
        </w:tc>
        <w:tc>
          <w:tcPr>
            <w:tcW w:type="dxa" w:w="56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In scope; names and paths not documented</w:t>
            </w:r>
          </w:p>
        </w:tc>
      </w:tr>
    </w:tbl>
    <w:p>
      <w:pPr>
        <w:spacing w:before="0" w:after="140" w:line="168" w:lineRule="auto"/>
      </w:pPr>
    </w:p>
    <w:p>
      <w:pPr>
        <w:spacing w:before="80" w:after="160" w:line="276" w:lineRule="auto"/>
        <w:ind w:left="173" w:right="115"/>
        <w:shd w:fill="FFF4CC" w:val="clear"/>
        <w:pBdr>
          <w:left w:val="single" w:sz="18" w:space="10" w:color="B7791F"/>
        </w:pBdr>
      </w:pPr>
      <w:r>
        <w:rPr>
          <w:rFonts w:ascii="Calibri" w:hAnsi="Calibri" w:eastAsia="Calibri"/>
          <w:b/>
          <w:color w:val="0B2545"/>
          <w:sz w:val="21"/>
        </w:rPr>
        <w:t xml:space="preserve">Path control: </w:t>
      </w:r>
      <w:r>
        <w:rPr>
          <w:rFonts w:ascii="Calibri" w:hAnsi="Calibri" w:eastAsia="Calibri"/>
          <w:color w:val="0B2545"/>
          <w:sz w:val="21"/>
        </w:rPr>
        <w:t>Use SERVERS.md and the approved deployment runbook. Production paths are not authoritative in the current repository and must not be inferred from UAT.</w:t>
      </w:r>
    </w:p>
    <w:p>
      <w:r>
        <w:rPr>
          <w:rFonts w:ascii="Calibri" w:hAnsi="Calibri" w:eastAsia="Calibri"/>
          <w:color w:val="0B2545"/>
          <w:sz w:val="22"/>
        </w:rPr>
        <w:br w:type="page"/>
      </w:r>
    </w:p>
    <w:p>
      <w:pPr>
        <w:pStyle w:val="Heading1"/>
        <w:keepNext/>
        <w:pageBreakBefore w:val="0"/>
      </w:pPr>
      <w:r>
        <w:rPr>
          <w:rFonts w:ascii="Calibri" w:hAnsi="Calibri" w:eastAsia="Calibri"/>
          <w:color w:val="0B2545"/>
          <w:sz w:val="22"/>
        </w:rPr>
        <w:t>Appendix B - Accuracy notes and references</w:t>
      </w:r>
    </w:p>
    <w:p>
      <w:pPr>
        <w:pStyle w:val="Heading2"/>
        <w:keepNext/>
        <w:pageBreakBefore w:val="0"/>
      </w:pPr>
      <w:r>
        <w:rPr>
          <w:rFonts w:ascii="Calibri" w:hAnsi="Calibri" w:eastAsia="Calibri"/>
          <w:color w:val="0B2545"/>
          <w:sz w:val="22"/>
        </w:rPr>
        <w:t>What was corrected</w:t>
      </w:r>
    </w:p>
    <w:p>
      <w:pPr>
        <w:numPr>
          <w:ilvl w:val="0"/>
          <w:numId w:val="10"/>
        </w:numPr>
        <w:spacing w:after="80" w:line="300" w:lineRule="auto"/>
      </w:pPr>
      <w:r>
        <w:rPr>
          <w:rFonts w:ascii="Calibri" w:hAnsi="Calibri" w:eastAsia="Calibri"/>
          <w:color w:val="0B2545"/>
          <w:sz w:val="22"/>
        </w:rPr>
        <w:t>Merged three repeated runbooks into one execution sequence.</w:t>
      </w:r>
    </w:p>
    <w:p>
      <w:pPr>
        <w:numPr>
          <w:ilvl w:val="0"/>
          <w:numId w:val="10"/>
        </w:numPr>
        <w:spacing w:after="80" w:line="300" w:lineRule="auto"/>
      </w:pPr>
      <w:r>
        <w:rPr>
          <w:rFonts w:ascii="Calibri" w:hAnsi="Calibri" w:eastAsia="Calibri"/>
          <w:color w:val="0B2545"/>
          <w:sz w:val="22"/>
        </w:rPr>
        <w:t>Repaired corrupted script extensions and command punctuation.</w:t>
      </w:r>
    </w:p>
    <w:p>
      <w:pPr>
        <w:numPr>
          <w:ilvl w:val="0"/>
          <w:numId w:val="10"/>
        </w:numPr>
        <w:spacing w:after="80" w:line="300" w:lineRule="auto"/>
      </w:pPr>
      <w:r>
        <w:rPr>
          <w:rFonts w:ascii="Calibri" w:hAnsi="Calibri" w:eastAsia="Calibri"/>
          <w:color w:val="0B2545"/>
          <w:sz w:val="22"/>
        </w:rPr>
        <w:t>Reduced nine heading levels to a consistent three-level hierarchy.</w:t>
      </w:r>
    </w:p>
    <w:p>
      <w:pPr>
        <w:numPr>
          <w:ilvl w:val="0"/>
          <w:numId w:val="10"/>
        </w:numPr>
        <w:spacing w:after="80" w:line="300" w:lineRule="auto"/>
      </w:pPr>
      <w:r>
        <w:rPr>
          <w:rFonts w:ascii="Calibri" w:hAnsi="Calibri" w:eastAsia="Calibri"/>
          <w:color w:val="0B2545"/>
          <w:sz w:val="22"/>
        </w:rPr>
        <w:t>Removed repeated exit-code, evidence, sign-off, and escalation sections.</w:t>
      </w:r>
    </w:p>
    <w:p>
      <w:pPr>
        <w:numPr>
          <w:ilvl w:val="0"/>
          <w:numId w:val="10"/>
        </w:numPr>
        <w:spacing w:after="80" w:line="300" w:lineRule="auto"/>
      </w:pPr>
      <w:r>
        <w:rPr>
          <w:rFonts w:ascii="Calibri" w:hAnsi="Calibri" w:eastAsia="Calibri"/>
          <w:color w:val="0B2545"/>
          <w:sz w:val="22"/>
        </w:rPr>
        <w:t>Corrected health guidance so native console EXEs use path/mode, task, and log probes.</w:t>
      </w:r>
    </w:p>
    <w:p>
      <w:pPr>
        <w:numPr>
          <w:ilvl w:val="0"/>
          <w:numId w:val="10"/>
        </w:numPr>
        <w:spacing w:after="80" w:line="300" w:lineRule="auto"/>
      </w:pPr>
      <w:r>
        <w:rPr>
          <w:rFonts w:ascii="Calibri" w:hAnsi="Calibri" w:eastAsia="Calibri"/>
          <w:color w:val="0B2545"/>
          <w:sz w:val="22"/>
        </w:rPr>
        <w:t>Made the incomplete inventory and disabled telemetry explicit.</w:t>
      </w:r>
    </w:p>
    <w:p>
      <w:pPr>
        <w:numPr>
          <w:ilvl w:val="0"/>
          <w:numId w:val="10"/>
        </w:numPr>
        <w:spacing w:after="80" w:line="300" w:lineRule="auto"/>
      </w:pPr>
      <w:r>
        <w:rPr>
          <w:rFonts w:ascii="Calibri" w:hAnsi="Calibri" w:eastAsia="Calibri"/>
          <w:color w:val="0B2545"/>
          <w:sz w:val="22"/>
        </w:rPr>
        <w:t>Separated safe verification from UAT deploy-gate and blocked production/drift paths.</w:t>
      </w:r>
    </w:p>
    <w:p>
      <w:pPr>
        <w:numPr>
          <w:ilvl w:val="0"/>
          <w:numId w:val="10"/>
        </w:numPr>
        <w:spacing w:after="80" w:line="300" w:lineRule="auto"/>
      </w:pPr>
      <w:r>
        <w:rPr>
          <w:rFonts w:ascii="Calibri" w:hAnsi="Calibri" w:eastAsia="Calibri"/>
          <w:color w:val="0B2545"/>
          <w:sz w:val="22"/>
        </w:rPr>
        <w:t>Removed browser-export artifacts, broken tables, 82 section breaks, and tauri.localhost headers.</w:t>
      </w:r>
    </w:p>
    <w:p>
      <w:pPr>
        <w:pStyle w:val="Heading2"/>
        <w:keepNext/>
        <w:pageBreakBefore w:val="0"/>
      </w:pPr>
      <w:r>
        <w:rPr>
          <w:rFonts w:ascii="Calibri" w:hAnsi="Calibri" w:eastAsia="Calibri"/>
          <w:color w:val="0B2545"/>
          <w:sz w:val="22"/>
        </w:rPr>
        <w:t>Authoritative repository sources</w:t>
      </w:r>
    </w:p>
    <w:tbl>
      <w:tblPr>
        <w:tblW w:type="dxa" w:w="9360"/>
        <w:jc w:val="left"/>
        <w:tblLayout w:type="fixed"/>
        <w:tblLook w:firstColumn="1" w:firstRow="1" w:lastColumn="0" w:lastRow="0" w:noHBand="0" w:noVBand="1" w:val="04A0"/>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Pr>
      <w:tblGrid>
        <w:gridCol w:w="3400"/>
        <w:gridCol w:w="5960"/>
      </w:tblGrid>
      <w:tr>
        <w:trPr>
          <w:cantSplit/>
          <w:tblHeader w:val="true"/>
        </w:trPr>
        <w:tc>
          <w:tcPr>
            <w:tcW w:type="dxa" w:w="340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Source</w:t>
            </w:r>
          </w:p>
        </w:tc>
        <w:tc>
          <w:tcPr>
            <w:tcW w:type="dxa" w:w="596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Use in this guide</w:t>
            </w:r>
          </w:p>
        </w:tc>
      </w:tr>
      <w:tr>
        <w:trPr>
          <w:cantSplit/>
        </w:trPr>
        <w:tc>
          <w:tcPr>
            <w:tcW w:type="dxa" w:w="34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README.md</w:t>
            </w:r>
          </w:p>
        </w:tc>
        <w:tc>
          <w:tcPr>
            <w:tcW w:type="dxa" w:w="59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Runtime, trust model, exit codes, workflow, limits, and open items</w:t>
            </w:r>
          </w:p>
        </w:tc>
      </w:tr>
      <w:tr>
        <w:trPr>
          <w:cantSplit/>
        </w:trPr>
        <w:tc>
          <w:tcPr>
            <w:tcW w:type="dxa" w:w="34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SERVERS.md</w:t>
            </w:r>
          </w:p>
        </w:tc>
        <w:tc>
          <w:tcPr>
            <w:tcW w:type="dxa" w:w="59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Server roles, processor locations, modes, and path warnings</w:t>
            </w:r>
          </w:p>
        </w:tc>
      </w:tr>
      <w:tr>
        <w:trPr>
          <w:cantSplit/>
        </w:trPr>
        <w:tc>
          <w:tcPr>
            <w:tcW w:type="dxa" w:w="34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Invoke-Verification.ps1</w:t>
            </w:r>
          </w:p>
        </w:tc>
        <w:tc>
          <w:tcPr>
            <w:tcW w:type="dxa" w:w="59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Capture, VerifyFiles, VerifyConfig, and All commands</w:t>
            </w:r>
          </w:p>
        </w:tc>
      </w:tr>
      <w:tr>
        <w:trPr>
          <w:cantSplit/>
        </w:trPr>
        <w:tc>
          <w:tcPr>
            <w:tcW w:type="dxa" w:w="34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Invoke-Preflight.ps1</w:t>
            </w:r>
          </w:p>
        </w:tc>
        <w:tc>
          <w:tcPr>
            <w:tcW w:type="dxa" w:w="59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Per-processor readiness checks and exit codes</w:t>
            </w:r>
          </w:p>
        </w:tc>
      </w:tr>
      <w:tr>
        <w:trPr>
          <w:cantSplit/>
        </w:trPr>
        <w:tc>
          <w:tcPr>
            <w:tcW w:type="dxa" w:w="34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Invoke-HealthCheck.ps1</w:t>
            </w:r>
          </w:p>
        </w:tc>
        <w:tc>
          <w:tcPr>
            <w:tcW w:type="dxa" w:w="59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Valid health profiles and no-probe failure behavior</w:t>
            </w:r>
          </w:p>
        </w:tc>
      </w:tr>
      <w:tr>
        <w:trPr>
          <w:cantSplit/>
        </w:trPr>
        <w:tc>
          <w:tcPr>
            <w:tcW w:type="dxa" w:w="34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Invoke-PreDeployGate.ps1</w:t>
            </w:r>
          </w:p>
        </w:tc>
        <w:tc>
          <w:tcPr>
            <w:tcW w:type="dxa" w:w="59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Content gate and approved-commit checks</w:t>
            </w:r>
          </w:p>
        </w:tc>
      </w:tr>
      <w:tr>
        <w:trPr>
          <w:cantSplit/>
        </w:trPr>
        <w:tc>
          <w:tcPr>
            <w:tcW w:type="dxa" w:w="34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processors/Deploy-OutboundDBQ-uat.ps1</w:t>
            </w:r>
          </w:p>
        </w:tc>
        <w:tc>
          <w:tcPr>
            <w:tcW w:type="dxa" w:w="59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UAT DBQ pilot wrapper and confirmation gate</w:t>
            </w:r>
          </w:p>
        </w:tc>
      </w:tr>
      <w:tr>
        <w:trPr>
          <w:cantSplit/>
        </w:trPr>
        <w:tc>
          <w:tcPr>
            <w:tcW w:type="dxa" w:w="34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targets.json</w:t>
            </w:r>
          </w:p>
        </w:tc>
        <w:tc>
          <w:tcPr>
            <w:tcW w:type="dxa" w:w="59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Current incomplete inventory status</w:t>
            </w:r>
          </w:p>
        </w:tc>
      </w:tr>
      <w:tr>
        <w:trPr>
          <w:cantSplit/>
        </w:trPr>
        <w:tc>
          <w:tcPr>
            <w:tcW w:type="dxa" w:w="34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tests/</w:t>
            </w:r>
          </w:p>
        </w:tc>
        <w:tc>
          <w:tcPr>
            <w:tcW w:type="dxa" w:w="59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Current automated behavior checks</w:t>
            </w:r>
          </w:p>
        </w:tc>
      </w:tr>
    </w:tbl>
    <w:p>
      <w:pPr>
        <w:spacing w:before="0" w:after="140" w:line="168" w:lineRule="auto"/>
      </w:pPr>
    </w:p>
    <w:p>
      <w:pPr>
        <w:spacing w:before="80" w:after="160" w:line="276" w:lineRule="auto"/>
        <w:ind w:left="173" w:right="115"/>
        <w:shd w:fill="F4F6F9" w:val="clear"/>
        <w:pBdr>
          <w:left w:val="single" w:sz="18" w:space="10" w:color="2E74B5"/>
        </w:pBdr>
      </w:pPr>
      <w:r>
        <w:rPr>
          <w:rFonts w:ascii="Calibri" w:hAnsi="Calibri" w:eastAsia="Calibri"/>
          <w:b/>
          <w:color w:val="0B2545"/>
          <w:sz w:val="21"/>
        </w:rPr>
        <w:t xml:space="preserve">Validation scope: </w:t>
      </w:r>
      <w:r>
        <w:rPr>
          <w:rFonts w:ascii="Calibri" w:hAnsi="Calibri" w:eastAsia="Calibri"/>
          <w:color w:val="0B2545"/>
          <w:sz w:val="21"/>
        </w:rPr>
        <w:t>This document was checked against repository commit dcd25338 on July 29, 2026. If the scripts, server map, target inventory, or approved runbook values change, revalidate the affected commands before use.</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
      <w:rPr>
        <w:rFonts w:ascii="Calibri" w:hAnsi="Calibri" w:eastAsia="Calibri"/>
        <w:color w:val="596579"/>
        <w:sz w:val="17"/>
      </w:rPr>
      <w:t>Post-Deployment Verification | Internal</w:t>
    </w:r>
    <w:r>
      <w:tab/>
    </w:r>
    <w:r>
      <w:rPr>
        <w:rFonts w:ascii="Calibri" w:hAnsi="Calibri" w:eastAsia="Calibri"/>
        <w:color w:val="596579"/>
        <w:sz w:val="17"/>
      </w:rPr>
      <w:t xml:space="preserve">Page </w:t>
    </w:r>
    <w:r>
      <w:fldChar w:fldCharType="begin"/>
      <w:instrText xml:space="preserve">PAGE</w:instrText>
      <w:fldChar w:fldCharType="separate"/>
      <w:t>1</w:t>
      <w:fldChar w:fldCharType="end"/>
    </w:r>
    <w:r>
      <w:rPr>
        <w:rFonts w:ascii="Calibri" w:hAnsi="Calibri" w:eastAsia="Calibri"/>
        <w:color w:val="596579"/>
        <w:sz w:val="17"/>
      </w:rPr>
      <w:t xml:space="preserve"> of </w:t>
    </w:r>
    <w: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
      <w:rPr>
        <w:rFonts w:ascii="Calibri" w:hAnsi="Calibri" w:eastAsia="Calibri"/>
        <w:color w:val="596579"/>
        <w:sz w:val="17"/>
      </w:rPr>
      <w:t>Post-Deployment Verification | Internal</w:t>
    </w:r>
    <w:r>
      <w:tab/>
    </w:r>
    <w:r>
      <w:rPr>
        <w:rFonts w:ascii="Calibri" w:hAnsi="Calibri" w:eastAsia="Calibri"/>
        <w:color w:val="596579"/>
        <w:sz w:val="17"/>
      </w:rPr>
      <w:t>Prepared for July 30,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80"/>
      <w:pBdr>
        <w:bottom w:val="single" w:sz="6" w:space="4" w:color="B7C6D5"/>
      </w:pBdr>
    </w:pPr>
    <w:r/>
    <w:r>
      <w:rPr>
        <w:rFonts w:ascii="Calibri" w:hAnsi="Calibri" w:eastAsia="Calibri"/>
        <w:b/>
        <w:color w:val="596579"/>
        <w:sz w:val="17"/>
      </w:rPr>
      <w:t>FINAL TEST GUIDE</w:t>
    </w:r>
    <w:r>
      <w:tab/>
    </w:r>
    <w:r>
      <w:rPr>
        <w:rFonts w:ascii="Calibri" w:hAnsi="Calibri" w:eastAsia="Calibri"/>
        <w:color w:val="596579"/>
        <w:sz w:val="17"/>
      </w:rPr>
      <w:t>Validated against dcd25338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abstractNum w:abstractNumId="10">
    <w:multiLevelType w:val="singleLevel"/>
    <w:lvl w:ilvl="0">
      <w:start w:val="1"/>
      <w:numFmt w:val="decimal"/>
      <w:lvlText w:val="%1."/>
      <w:lvlJc w:val="left"/>
      <w:pPr>
        <w:tabs>
          <w:tab w:val="num" w:pos="540"/>
        </w:tabs>
        <w:ind w:left="540" w:hanging="271"/>
        <w:spacing w:after="80" w:line="300" w:lineRule="auto"/>
      </w:pPr>
    </w:lvl>
  </w:abstractNum>
  <w:num w:numId="10">
    <w:abstractNumId w:val="9"/>
    <w:lvlOverride w:ilvl="0">
      <w:startOverride w:val="1"/>
    </w:lvlOverride>
  </w:num>
  <w:num w:numId="11">
    <w:abstractNumId w:val="10"/>
    <w:lvlOverride w:ilvl="0">
      <w:startOverride w:val="1"/>
    </w:lvlOverride>
  </w:num>
  <w:num w:numId="12">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52"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52"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line="264" w:lineRule="auto"/>
    </w:pPr>
    <w:rPr>
      <w:rFonts w:asciiTheme="majorHAnsi" w:eastAsiaTheme="majorEastAsia" w:hAnsiTheme="majorHAnsi" w:cstheme="majorBidi" w:ascii="Calibri" w:hAnsi="Calibri" w:eastAsia="Calibri"/>
      <w:i/>
      <w:iCs/>
      <w:color w:val="596579"/>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173" w:right="86"/>
    </w:pPr>
    <w:rPr>
      <w:rFonts w:ascii="Consolas" w:hAnsi="Consolas" w:eastAsia="Consolas"/>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Post-Deployment Verification - Final Test Guide</dc:title>
  <dc:subject>Accuracy-checked execution guide for July 30, 2026</dc:subject>
  <dc:creator>Post-Deployment Team</dc:creator>
  <cp:keywords>PowerShell 5.1, verification, UAT, baseline, health check</cp:keywords>
  <dc:description>Consolidated and source-validated against repository commit dcd25338.</dc:description>
  <cp:lastModifiedBy>Post-Deployment Team</cp:lastModifiedBy>
  <cp:revision>1</cp:revision>
  <dcterms:created xsi:type="dcterms:W3CDTF">2013-12-23T23:15:00Z</dcterms:created>
  <dcterms:modified xsi:type="dcterms:W3CDTF">2013-12-23T23:15:00Z</dcterms:modified>
  <cp:category/>
</cp:coreProperties>
</file>