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017e49037b1883f1135c1e1c462feef24f6a605"/>
    <w:p>
      <w:pPr>
        <w:pStyle w:val="Heading1"/>
      </w:pPr>
      <w:r>
        <w:t xml:space="preserve">Contagion or Competition? An LLM-Based Event Study of Corporate News Spillovers Across Competitor Stocks</w:t>
      </w:r>
    </w:p>
    <w:bookmarkStart w:id="9" w:name="abstract"/>
    <w:p>
      <w:pPr>
        <w:pStyle w:val="Heading2"/>
      </w:pPr>
      <w:r>
        <w:t xml:space="preserve">Abstract</w:t>
      </w:r>
    </w:p>
    <w:p>
      <w:pPr>
        <w:pStyle w:val="FirstParagraph"/>
      </w:pPr>
      <w:r>
        <w:t xml:space="preserve">This report studies whether corporate news about a public company is associated with short-run abnormal returns among its direct competitors, and whether those spillovers are more consistent with industry contagion or competitive substitution. The underlying news archive contains 55,094 ticker-level rows for 22 public firms across five competitor groups over 2025-06-26 to 2026-06-21. After conservative cleaning and article-level deduplication, 38,131 unique articles remained. From that universe, the project drew a balanced stratified sample of 1,250 articles for LLM classification. All 1,250 classifications succeeded, 930 articles were labeled relevant, and those relevant articles were merged back to source tickers to construct a competitor event panel with 4,544 rows.</w:t>
      </w:r>
    </w:p>
    <w:p>
      <w:pPr>
        <w:pStyle w:val="BodyText"/>
      </w:pPr>
      <w:r>
        <w:t xml:space="preserve">The empirical design combines LLM-based text classification with an exploratory event-study framework. For each sampled article, the model assigns structured labels for relevance, relevance type, event type, sentiment, news scope, materiality, confidence, and the expected competitor effect. These labels are then linked to benchmark-adjusted competitor returns using SPY-based abnormal returns on the next trading day and cumulative abnormal returns over CAR(0,1) and CAR(1,3) windows. The analysis reports results for a broad sample, a strict sample that excludes market roundups, and a very strict sample that adds materiality and confidence filters.</w:t>
      </w:r>
    </w:p>
    <w:p>
      <w:pPr>
        <w:pStyle w:val="BodyText"/>
      </w:pPr>
      <w:r>
        <w:t xml:space="preserve">The results are more consistent with short-run industry contagion than with pure competitive substitution. Articles classified as</w:t>
      </w:r>
      <w:r>
        <w:t xml:space="preserve"> </w:t>
      </w:r>
      <w:r>
        <w:rPr>
          <w:rStyle w:val="VerbatimChar"/>
        </w:rPr>
        <w:t xml:space="preserve">industry_news</w:t>
      </w:r>
      <w:r>
        <w:t xml:space="preserve"> </w:t>
      </w:r>
      <w:r>
        <w:t xml:space="preserve">are positively associated with next-day competitor abnormal returns, and</w:t>
      </w:r>
      <w:r>
        <w:t xml:space="preserve"> </w:t>
      </w:r>
      <w:r>
        <w:rPr>
          <w:rStyle w:val="VerbatimChar"/>
        </w:rPr>
        <w:t xml:space="preserve">same_direction_contagion</w:t>
      </w:r>
      <w:r>
        <w:t xml:space="preserve"> </w:t>
      </w:r>
      <w:r>
        <w:t xml:space="preserve">is the dominant expected-effect label and remains positively associated with competitor returns, especially in cumulative windows and in the stricter samples. Competition-oriented labels appear in the data, but they are relatively rare and less stable statistically. Overall, the evidence suggests that corporate news often conveys sector-level information that investors apply to rival firms as well as to the focal company. These findings should be interpreted cautiously: the design is exploratory, the classified sample is structured rather than exhaustive, and the estimated associations are best understood as evidence consistent with contagion rather than as proof of a unique causal mechanism.</w:t>
      </w:r>
    </w:p>
    <w:bookmarkEnd w:id="9"/>
    <w:bookmarkStart w:id="10" w:name="question-description-theory-basis"/>
    <w:p>
      <w:pPr>
        <w:pStyle w:val="Heading2"/>
      </w:pPr>
      <w:r>
        <w:t xml:space="preserve">1. Question Description &amp; Theory Basis</w:t>
      </w:r>
    </w:p>
    <w:p>
      <w:pPr>
        <w:pStyle w:val="FirstParagraph"/>
      </w:pPr>
      <w:r>
        <w:t xml:space="preserve">Financial markets react to information because asset prices are forward-looking. When new corporate news reaches investors, it can change expectations about a firm’s future cash flows, risks, financing conditions, or strategic position. Earnings surprises, product launches, acquisitions, regulatory actions, lawsuits, management changes, and operational disruptions all contain signals that may affect firm value. In liquid equity markets, such information is often incorporated into prices rapidly, which is why news events provide a natural setting for studying how investors process information (Fama et al., 1969). For this project, the key issue is not only whether the focal firm’s own stock reacts, but also whether the same information spills over to other firms that compete in the same product market.</w:t>
      </w:r>
    </w:p>
    <w:p>
      <w:pPr>
        <w:pStyle w:val="BodyText"/>
      </w:pPr>
      <w:r>
        <w:t xml:space="preserve">That broader question matters for both finance and business analysis. Cross-firm spillovers show how information diffuses beyond the affected company and how investors update beliefs about an entire competitive landscape. Rival-firm reactions reveal whether a news event is interpreted as changing industry demand, sector-wide risk, or relative competitive positioning. A favorable event for one firm may indicate stronger market conditions for all firms in the sector, but it may also imply that one company is gaining share at the expense of others.</w:t>
      </w:r>
    </w:p>
    <w:p>
      <w:pPr>
        <w:pStyle w:val="BodyText"/>
      </w:pPr>
      <w:r>
        <w:t xml:space="preserve">The intuition for such spillovers is straightforward. Public companies do not operate in isolation. Direct competitors often face related customers, suppliers, technologies, regulatory constraints, and macroeconomic exposures. As a result, information about one firm can reveal something about the environment faced by nearby firms. If a semiconductor company reports unexpectedly strong demand, investors may infer that demand conditions are improving across the industry rather than only for that single firm. If a major bank discloses rising credit losses, investors may revise expectations for other banks exposed to similar lending conditions. In these cases, the initial article is about one firm, but the underlying information may be informative about a broader sectoral state.</w:t>
      </w:r>
    </w:p>
    <w:p>
      <w:pPr>
        <w:pStyle w:val="BodyText"/>
      </w:pPr>
      <w:r>
        <w:t xml:space="preserve">This logic motivates the first mechanism in the project: industry contagion. Industry contagion refers to cases in which news about one firm reveals sector-wide information, so competitor stocks move in the same direction as the focal firm’s implied news effect. Positive news may lift rival firms because investors interpret the event as evidence of stronger demand, lower input pressure, better regulatory conditions, or improved sentiment across the industry. Negative news may also spill over in the same direction when it signals shared exposure, such as higher costs, weaker demand, regulatory scrutiny, or common operational risk. In this interpretation, the focal article is informative not only about one company but about an industry environment that multiple firms jointly inhabit.</w:t>
      </w:r>
    </w:p>
    <w:p>
      <w:pPr>
        <w:pStyle w:val="BodyText"/>
      </w:pPr>
      <w:r>
        <w:t xml:space="preserve">The second mechanism is competitive substitution. Competitive substitution refers to cases in which news reveals a firm-specific advantage or disadvantage, so competitors may move in the opposite direction. If one airline secures a strategic route expansion, one retailer gains share through a superior product launch, or one platform suffers a severe operational or legal setback, investors may view the event as redistributing expected profits across rivals rather than shifting the whole sector. Under this mechanism, good news for the focal firm may be bad news for its direct competitors, while bad news for the focal firm may benefit rivals that are positioned to capture customers, pricing power, capacity, or market attention. The essential idea is relative advantage: the news changes the competitive balance within the industry rather than the common outlook for the industry as a whole.</w:t>
      </w:r>
    </w:p>
    <w:p>
      <w:pPr>
        <w:pStyle w:val="BodyText"/>
      </w:pPr>
      <w:r>
        <w:t xml:space="preserve">These two mechanisms are not mutually exclusive in theory, and that is one reason the empirical question is nontrivial. A single event can contain both common-information and relative-advantage components. The observed competitor reaction therefore depends on how the market weights these channels on average across many events. For that reason, this report does not assume that all news is either purely firm-specific or purely industry-wide. Instead, it evaluates whether measured competitor stock responses are more consistent with same-direction contagion or opposite-direction substitution once events are systematically classified.</w:t>
      </w:r>
    </w:p>
    <w:p>
      <w:pPr>
        <w:pStyle w:val="BodyText"/>
      </w:pPr>
      <w:r>
        <w:t xml:space="preserve">A major challenge in studying this question is that corporate news is unstructured. Headlines and article text vary widely in content, tone, materiality, and scope. Traditional keyword rules can be too crude to distinguish between a routine market roundup, a firm-specific product announcement, an industry demand signal, or a legal development with sector implications. This is where large language models are useful for the project. Rather than treating every article mentioning a firm as equally informative, LLM-based classification can convert unstructured news into structured labels that are directly usable in empirical analysis. In this project, the relevant labels include whether an article is substantively relevant, what type of event it describes, whether the implied sentiment is positive or negative, whether the news appears firm-specific or industry-wide in scope, and what competitor effect is most plausible ex ante.</w:t>
      </w:r>
    </w:p>
    <w:p>
      <w:pPr>
        <w:pStyle w:val="BodyText"/>
      </w:pPr>
      <w:r>
        <w:t xml:space="preserve">This approach is valuable for two reasons. First, it improves measurement. Event studies depend heavily on defining the event set well; if irrelevant or weakly related news is mixed together with genuinely material events, estimated spillover effects can be diluted. Structured relevance and scope labels help reduce that problem. Second, it improves theory testing. The contagion-versus-substitution distinction is fundamentally interpretive, and LLM-generated labels create a disciplined way to map qualitative business information into hypotheses about competitor stock reactions. The model does not replace financial inference, but it does provide a scalable method for organizing news content into categories that can be tested against abnormal return patterns. More broadly, this use of textual signals fits within a finance literature showing that media content and domain-specific financial language can contain market-relevant information (Tetlock, 2007; Loughran &amp; McDonald, 2011).</w:t>
      </w:r>
    </w:p>
    <w:p>
      <w:pPr>
        <w:pStyle w:val="BodyText"/>
      </w:pPr>
      <w:r>
        <w:t xml:space="preserve">The central research question of the project is therefore clear: when materially relevant corporate news is released about a public company, how do the stocks of its direct competitors respond, and are those responses more consistent with industry contagion or with competitive substitution? Put differently, the study asks whether competitor stocks tend to move in the same direction because the news reveals shared industry information, or in the opposite direction because the news changes relative competitive advantage. This question is examined using an event-study framework that links structured LLM news classifications to short-run abnormal returns for identified competitor firms.</w:t>
      </w:r>
    </w:p>
    <w:p>
      <w:pPr>
        <w:pStyle w:val="BodyText"/>
      </w:pPr>
      <w:r>
        <w:t xml:space="preserve">The empirical design is motivated by the idea that abnormal returns provide a disciplined way to test whether the market response to news extends beyond the focal firm. Because abnormal returns benchmark realized stock performance against expected market-related performance, they are well suited for assessing whether competitors exhibit unusual movement around news events. Even so, the report is careful not to overstate interpretation. Any measured association between article classifications and competitor returns should be understood as evidence that is consistent with particular information channels, not as definitive proof of a unique causal mechanism.</w:t>
      </w:r>
    </w:p>
    <w:p>
      <w:pPr>
        <w:pStyle w:val="BodyText"/>
      </w:pPr>
      <w:r>
        <w:t xml:space="preserve">The analysis is organized around the following hypotheses:</w:t>
      </w:r>
    </w:p>
    <w:p>
      <w:pPr>
        <w:pStyle w:val="Compact"/>
        <w:numPr>
          <w:ilvl w:val="0"/>
          <w:numId w:val="1001"/>
        </w:numPr>
      </w:pPr>
      <w:r>
        <w:t xml:space="preserve">H1: Relevant corporate news is associated with measurable abnormal returns among competitor firms.</w:t>
      </w:r>
    </w:p>
    <w:p>
      <w:pPr>
        <w:pStyle w:val="Compact"/>
        <w:numPr>
          <w:ilvl w:val="0"/>
          <w:numId w:val="1001"/>
        </w:numPr>
      </w:pPr>
      <w:r>
        <w:t xml:space="preserve">H2: News classified as industry-wide or same-direction contagion is associated with same-direction competitor stock reactions.</w:t>
      </w:r>
    </w:p>
    <w:p>
      <w:pPr>
        <w:pStyle w:val="Compact"/>
        <w:numPr>
          <w:ilvl w:val="0"/>
          <w:numId w:val="1001"/>
        </w:numPr>
      </w:pPr>
      <w:r>
        <w:t xml:space="preserve">H3: News classified as firm-specific competitive advantage is more likely to generate opposite-direction competitor stock reactions.</w:t>
      </w:r>
    </w:p>
    <w:p>
      <w:pPr>
        <w:pStyle w:val="FirstParagraph"/>
      </w:pPr>
      <w:r>
        <w:t xml:space="preserve">Taken together, these hypotheses frame the project as a test of how firm news transmits across competitive networks. The working expectation is that short-run co-movement may be more common than pure winner-loser substitution. Even so, the goal of the study is not to assume contagion in advance, but to compare both mechanisms and evaluate which interpretation better fits the observed competitor return patterns.</w:t>
      </w:r>
    </w:p>
    <w:bookmarkEnd w:id="10"/>
    <w:bookmarkStart w:id="11" w:name="data-collection-basic-analysis"/>
    <w:p>
      <w:pPr>
        <w:pStyle w:val="Heading2"/>
      </w:pPr>
      <w:r>
        <w:t xml:space="preserve">2. Data Collection &amp; Basic Analysis</w:t>
      </w:r>
    </w:p>
    <w:p>
      <w:pPr>
        <w:pStyle w:val="FirstParagraph"/>
      </w:pPr>
      <w:r>
        <w:t xml:space="preserve">Having framed the distinction between industry contagion and competitive substitution, the next step is to explain how the underlying news panel was assembled. The core input is a programmatically collected corporate news dataset linked to a predefined universe of public firms. In the realized dataset used for this report, the normalized news file contains 55,094 ticker-level rows covering the period from 2025-06-26 through 2026-06-21. Each row records a standardized set of fields including the queried ticker, publication timestamp, title, summary, URL, publisher, and source metadata. This normalization step is important because it converts raw API responses into a consistent structure that can be cleaned, deduplicated, stratified, and later merged with market data. Although the collection scripts can support multiple providers, the normalized dataset used here is sourced from Finnhub company news.</w:t>
      </w:r>
    </w:p>
    <w:p>
      <w:pPr>
        <w:pStyle w:val="BodyText"/>
      </w:pPr>
      <w:r>
        <w:t xml:space="preserve">The collection is ticker based rather than article based. News is downloaded by querying a list of selected public-company tickers, so the same underlying article can appear more than once if the provider associates it with multiple firms in the universe. This is economically meaningful rather than a defect in the raw data: one story may concern several related companies at once. A report on semiconductor demand, for example, may be returned under both NVDA and AMD. The raw and cleaned datasets should therefore be interpreted as collections of article-ticker observations rather than collections of unique stories.</w:t>
      </w:r>
    </w:p>
    <w:p>
      <w:pPr>
        <w:pStyle w:val="BodyText"/>
      </w:pPr>
      <w:r>
        <w:t xml:space="preserve">The analysis is organized around competitor groups rather than isolated stocks. This design choice follows directly from the research question. If the goal is to test spillovers across rivals, the relevant unit is not simply a single firm but a focal firm embedded in a plausible competitive set. The project therefore starts from five industry groupings chosen for visible product-market overlap and sufficiently dense news coverage:</w:t>
      </w:r>
    </w:p>
    <w:p>
      <w:pPr>
        <w:pStyle w:val="Compact"/>
        <w:numPr>
          <w:ilvl w:val="0"/>
          <w:numId w:val="1002"/>
        </w:numPr>
      </w:pPr>
      <w:r>
        <w:t xml:space="preserve">autos/EV: TSLA, GM, F, RIVN</w:t>
      </w:r>
    </w:p>
    <w:p>
      <w:pPr>
        <w:pStyle w:val="Compact"/>
        <w:numPr>
          <w:ilvl w:val="0"/>
          <w:numId w:val="1002"/>
        </w:numPr>
      </w:pPr>
      <w:r>
        <w:t xml:space="preserve">semiconductors/AI: NVDA, AMD, INTC, QCOM, AVGO</w:t>
      </w:r>
    </w:p>
    <w:p>
      <w:pPr>
        <w:pStyle w:val="Compact"/>
        <w:numPr>
          <w:ilvl w:val="0"/>
          <w:numId w:val="1002"/>
        </w:numPr>
      </w:pPr>
      <w:r>
        <w:t xml:space="preserve">airlines/travel: DAL, UAL, AAL, LUV</w:t>
      </w:r>
    </w:p>
    <w:p>
      <w:pPr>
        <w:pStyle w:val="Compact"/>
        <w:numPr>
          <w:ilvl w:val="0"/>
          <w:numId w:val="1002"/>
        </w:numPr>
      </w:pPr>
      <w:r>
        <w:t xml:space="preserve">banks/finance: JPM, BAC, C, WFC</w:t>
      </w:r>
    </w:p>
    <w:p>
      <w:pPr>
        <w:pStyle w:val="Compact"/>
        <w:numPr>
          <w:ilvl w:val="0"/>
          <w:numId w:val="1002"/>
        </w:numPr>
      </w:pPr>
      <w:r>
        <w:t xml:space="preserve">big tech/cloud: AAPL, MSFT, GOOGL, META, AMZN</w:t>
      </w:r>
    </w:p>
    <w:p>
      <w:pPr>
        <w:pStyle w:val="FirstParagraph"/>
      </w:pPr>
      <w:r>
        <w:t xml:space="preserve">Together these groups define a 22-ticker query universe. They span sectors where both contagion and substitution are economically plausible. A separate market benchmark ticker is retained elsewhere in the project for abnormal-return construction, but the news collection itself is anchored in these five competitor networks.</w:t>
      </w:r>
    </w:p>
    <w:p>
      <w:pPr>
        <w:pStyle w:val="BodyText"/>
      </w:pPr>
      <w:r>
        <w:t xml:space="preserve">Before any language-model classification, the ticker-linked news feed undergoes conservative technical cleaning. The purpose of this step is deliberately narrow. It is not meant to decide whether an article is economically important, nor whether it implies contagion or competition. Instead, it removes records that are clearly unusable for later text analysis. The cleaning rules target missing core fields, missing summaries, extremely short summaries, obvious malformed text such as technical junk values, and exact ticker-level duplicates. In the realized data, 2,556 rows are removed at this stage, reducing the dataset from 55,094 normalized rows to 52,538 cleaned ticker-level rows. The removed set is dominated by missing summaries (2,182 rows) and summaries shorter than 30 characters (374 rows). This pattern is useful descriptively because it shows that the main problem in the raw feed is not semantic ambiguity but basic text incompleteness. The cleaning stage therefore remains intentionally conservative and preserves a broad candidate set for later classification.</w:t>
      </w:r>
    </w:p>
    <w:p>
      <w:pPr>
        <w:pStyle w:val="BodyText"/>
      </w:pPr>
      <w:r>
        <w:t xml:space="preserve">The next step is to separate unique articles from ticker links. Ticker-level news rows are the records generated by the ticker-query collection process, so one article may appear in several rows if it is linked to several firms. Unique articles are deduplicated stories identified once for classification purposes. Article-ticker links are the mapping table that reconnects each unique article to all associated tickers after classification. The project constructs an article identifier by preferring the article URL and falling back to a title-date-publisher combination when needed. This structure allows article text to be classified once and then mapped back to all relevant firms.</w:t>
      </w:r>
    </w:p>
    <w:p>
      <w:pPr>
        <w:pStyle w:val="BodyText"/>
      </w:pPr>
      <w:r>
        <w:t xml:space="preserve">This deduplication step materially changes the scale of the classification problem. The 52,538 cleaned ticker-level rows collapse to 38,131 unique articles, while the article-ticker link table retains 52,538 mappings back to firms. Put differently, deduplication prevents 14,407 repeated article classifications. The link structure also shows that cross-ticker overlap is economically meaningful rather than trivial. Of the 38,131 unique articles, 29,418 are linked to only one ticker, while 8,713 articles, or about 22.9 percent, are linked to more than one ticker. The average unique article is linked to roughly 1.38 tracked tickers, and some stories are linked to as many as 13. This is exactly the kind of data structure one would expect in a spillover study: many stories are firm centered, but a substantial minority are inherently multi-firm or industry connected.</w:t>
      </w:r>
    </w:p>
    <w:p>
      <w:pPr>
        <w:pStyle w:val="BodyText"/>
      </w:pPr>
      <w:r>
        <w:t xml:space="preserve">After the unique-article file is built, the project creates broad strata for balanced LLM sampling. These strata should be understood as a sampling device, not as the final economic labels used in the analysis. The construction combines coarse industry buckets with coarse article buckets so that the sampled classified dataset is not overwhelmed by whichever sectors or article styles happen to be most common in the raw feed. The broad article buckets are firm_event, analyst_or_earnings, macro_policy, market_roundup_or_advice, and other_unclear. Sparse combinations are then collapsed to maintain workable cell sizes and to cap the final number of strata. In the realized data, this process produces 25 final broad strata.</w:t>
      </w:r>
    </w:p>
    <w:p>
      <w:pPr>
        <w:pStyle w:val="BodyText"/>
      </w:pPr>
      <w:r>
        <w:t xml:space="preserve">The practical role of the strata becomes clear when looking at the distribution of the unique-article universe. Articles are not evenly distributed across sectors or news styles. At the broad bucket level, firm_event is the largest category with 17,647 articles, or 46.3 percent of all unique articles. analyst_or_earnings follows with 9,015 articles, or 23.6 percent. market_roundup_or_advice accounts for 5,236 articles, macro_policy for 3,565, and other_unclear for 2,668. At the finer stratum level, the largest cells are semiconductors_ai__firm_event with 5,124 articles, big_tech_cloud__firm_event with 4,176, autos_ev__firm_event with 3,630, banks_finance__firm_event with 2,839, and semiconductors_ai__analyst_or_earnings with 2,570. This concentration matters methodologically. An unconstrained random LLM sample would lean heavily toward high-volume technology and firm-event stories, which would make later comparisons across sectors and article types harder to interpret.</w:t>
      </w:r>
    </w:p>
    <w:p>
      <w:pPr>
        <w:pStyle w:val="BodyText"/>
      </w:pPr>
      <w:r>
        <w:t xml:space="preserve">To address that imbalance, the sampled classified dataset draws 50 articles from each of the 25 final strata, producing a balanced LLM input of 1,250 articles. All 1,250 sampled articles were successfully classified, so there is no attrition at the classification-status stage. This is not an attempt to classify all 38,131 unique articles. It is a structured sample designed to cover the main combinations of industries and broad article forms while keeping manual review and API cost within project scope.</w:t>
      </w:r>
    </w:p>
    <w:p>
      <w:pPr>
        <w:pStyle w:val="BodyText"/>
      </w:pPr>
      <w:r>
        <w:t xml:space="preserve">Even before the full LLM methodology is described, the classified sample provides useful descriptive evidence about relevance. Of the 1,250 successfully classified articles, 930 are labeled relevant and 320 are labeled not relevant, or 74.4 percent versus 25.6 percent. This shows that conservative technical cleaning is necessary but not sufficient: many articles that survive basic preprocessing still mention a tracked ticker without being economically useful for the event-study question. At the same time, the fact that roughly three quarters of the sampled classified dataset remains relevant suggests that the ticker-based collection process contains substantial usable event content once a second-stage text filter is applied.</w:t>
      </w:r>
    </w:p>
    <w:p>
      <w:pPr>
        <w:pStyle w:val="BodyText"/>
      </w:pPr>
      <w:r>
        <w:t xml:space="preserve">The relevance breakdown also helps motivate the next section without pre-empting it. Within the sampled classified dataset, the largest category is target_company_news with 387 articles. Other relevant categories include market_roundup_but_relevant with 252 articles, competitor_company_news with 122, industry_news with 106, and macro_policy_news with 63. These counts should be read as descriptive evidence about the balanced classified sample rather than as unconditional shares in the full one-year news universe. They make clear that the sample contains a mixture of clean focal-firm events, broader market commentary that remains economically relevant, and genuinely cross-firm or sector-level stories.</w:t>
      </w:r>
    </w:p>
    <w:p>
      <w:pPr>
        <w:pStyle w:val="BodyText"/>
      </w:pPr>
      <w:r>
        <w:t xml:space="preserve">Overall, the data construction process moves from a broad ticker-linked news feed to a cleaner and more analytically tractable article-level sample without losing the cross-firm linkage needed for spillover analysis. The raw pipeline begins with 55,094 normalized ticker-level rows, narrows to 52,538 cleaned rows, deduplicates to 38,131 unique articles, and then draws a balanced 1,250-article sampled classified dataset across 25 broad strata. This structure preserves the economic network encoded in article-ticker links while avoiding redundant classification work and excessive domination by a few dense news categories. Section 3 therefore turns to the LLM layer itself: how the sampled articles were classified into relevance, scope, sentiment, event, and expected competitor-effect fields that can later be connected to abnormal stock-return outcomes.</w:t>
      </w:r>
    </w:p>
    <w:bookmarkEnd w:id="11"/>
    <w:bookmarkStart w:id="12" w:name="application-of-llm-models"/>
    <w:p>
      <w:pPr>
        <w:pStyle w:val="Heading2"/>
      </w:pPr>
      <w:r>
        <w:t xml:space="preserve">3. Application of LLM Models</w:t>
      </w:r>
    </w:p>
    <w:p>
      <w:pPr>
        <w:pStyle w:val="FirstParagraph"/>
      </w:pPr>
      <w:r>
        <w:t xml:space="preserve">Section 2 showed that the project’s main data problem is not only collection scale, but interpretation. Even after conservative cleaning and article-level deduplication, the sampled classified dataset still contains a mix of genuine firm events, broad market roundups, analyst commentary, macro discussion, and weak ticker mentions. Ordinary keyword rules are not well suited to this setting. A rule-based filter can identify strings such as</w:t>
      </w:r>
      <w:r>
        <w:t xml:space="preserve"> </w:t>
      </w:r>
      <w:r>
        <w:t xml:space="preserve">“earnings,”</w:t>
      </w:r>
      <w:r>
        <w:t xml:space="preserve"> </w:t>
      </w:r>
      <w:r>
        <w:t xml:space="preserve">“Fed,”</w:t>
      </w:r>
      <w:r>
        <w:t xml:space="preserve"> </w:t>
      </w:r>
      <w:r>
        <w:t xml:space="preserve">or</w:t>
      </w:r>
      <w:r>
        <w:t xml:space="preserve"> </w:t>
      </w:r>
      <w:r>
        <w:t xml:space="preserve">“upgrade,”</w:t>
      </w:r>
      <w:r>
        <w:t xml:space="preserve"> </w:t>
      </w:r>
      <w:r>
        <w:t xml:space="preserve">but it cannot reliably decide whether the article is economically relevant to the focal ticker set, whether the news is firm-specific or industry-wide, or whether the likely spillover to competitors should be interpreted as contagion or substitution. For that reason, the project uses a large language model as a structured classification layer between raw financial news and the downstream event-study panel.</w:t>
      </w:r>
    </w:p>
    <w:p>
      <w:pPr>
        <w:pStyle w:val="BodyText"/>
      </w:pPr>
      <w:r>
        <w:t xml:space="preserve">The LLM’s role in the project is practical rather than speculative. It is used to transform unstructured article text into a consistent set of research variables that can be merged with returns data and analyzed statistically. Each sampled article is passed to the model together with a fixed prompt and a standardized JSON input record containing article metadata and text fields.</w:t>
      </w:r>
    </w:p>
    <w:p>
      <w:pPr>
        <w:pStyle w:val="BodyText"/>
      </w:pPr>
      <w:r>
        <w:t xml:space="preserve">Implementation was kept deliberately reproducible. The project uses an OpenAI model through the API, and the final successful classification file records</w:t>
      </w:r>
      <w:r>
        <w:t xml:space="preserve"> </w:t>
      </w:r>
      <w:r>
        <w:rPr>
          <w:rStyle w:val="VerbatimChar"/>
        </w:rPr>
        <w:t xml:space="preserve">gpt-5.4-mini</w:t>
      </w:r>
      <w:r>
        <w:t xml:space="preserve"> </w:t>
      </w:r>
      <w:r>
        <w:t xml:space="preserve">as the model field. The prompt is stored externally in</w:t>
      </w:r>
      <w:r>
        <w:t xml:space="preserve"> </w:t>
      </w:r>
      <w:r>
        <w:rPr>
          <w:rStyle w:val="VerbatimChar"/>
        </w:rPr>
        <w:t xml:space="preserve">prompts/news_spillover_classification_prompt.md</w:t>
      </w:r>
      <w:r>
        <w:t xml:space="preserve">, so the classification instructions are fixed and auditable rather than embedded ad hoc in analysis code. The script</w:t>
      </w:r>
      <w:r>
        <w:t xml:space="preserve"> </w:t>
      </w:r>
      <w:r>
        <w:rPr>
          <w:rStyle w:val="VerbatimChar"/>
        </w:rPr>
        <w:t xml:space="preserve">scripts/classify_news_with_openai.py</w:t>
      </w:r>
      <w:r>
        <w:t xml:space="preserve"> </w:t>
      </w:r>
      <w:r>
        <w:t xml:space="preserve">reads sampled article rows, constructs a two-message API request consisting of the fixed system prompt plus a user message containing the article JSON, and requests structured output. When supported by the endpoint, the script asks for strict JSON-schema output with a predefined field set and enumerated allowed values.</w:t>
      </w:r>
    </w:p>
    <w:p>
      <w:pPr>
        <w:pStyle w:val="BodyText"/>
      </w:pPr>
      <w:r>
        <w:t xml:space="preserve">The classification workflow also includes several operational safeguards. It is batch oriented and concurrent, resumable from previously written</w:t>
      </w:r>
      <w:r>
        <w:t xml:space="preserve"> </w:t>
      </w:r>
      <w:r>
        <w:rPr>
          <w:rStyle w:val="VerbatimChar"/>
        </w:rPr>
        <w:t xml:space="preserve">article_id</w:t>
      </w:r>
      <w:r>
        <w:t xml:space="preserve"> </w:t>
      </w:r>
      <w:r>
        <w:t xml:space="preserve">values, and incremental in the sense that each completed classification is appended to the final CSV while the raw API response is written to a JSONL log. The script also contains retry logic for transient failures such as timeouts, rate limits, and server-side errors, using exponential backoff for retryable status codes.</w:t>
      </w:r>
    </w:p>
    <w:p>
      <w:pPr>
        <w:pStyle w:val="BodyText"/>
      </w:pPr>
      <w:r>
        <w:t xml:space="preserve">The final classification file is</w:t>
      </w:r>
      <w:r>
        <w:t xml:space="preserve"> </w:t>
      </w:r>
      <w:r>
        <w:rPr>
          <w:rStyle w:val="VerbatimChar"/>
        </w:rPr>
        <w:t xml:space="preserve">data/processed/llm_output/llm_classifications_sample_n50_per_stratum_max1500_final.csv</w:t>
      </w:r>
      <w:r>
        <w:t xml:space="preserve">. It contains 1,250 sampled articles and 1,250 successful classifications, with 0 final error rows in the summary table. This suggests that the combination of a fixed prompt, structured output request, validation logic, and retry behavior was sufficient to produce a complete labeled sample without manual patching of failed rows. At the same time, the report does not treat this as proof that the labels are perfectly accurate. The model outputs are used as structured research variables and proxies for article interpretation, not as ground truth.</w:t>
      </w:r>
    </w:p>
    <w:p>
      <w:pPr>
        <w:pStyle w:val="BodyText"/>
      </w:pPr>
      <w:r>
        <w:t xml:space="preserve">The classification schema is designed to map directly into the study’s economic question. The first field,</w:t>
      </w:r>
      <w:r>
        <w:t xml:space="preserve"> </w:t>
      </w:r>
      <w:r>
        <w:rPr>
          <w:rStyle w:val="VerbatimChar"/>
        </w:rPr>
        <w:t xml:space="preserve">is_relevant</w:t>
      </w:r>
      <w:r>
        <w:t xml:space="preserve">, is the gatekeeping decision. It tells the pipeline whether the article contains economically meaningful information about one of the linked firms, a direct competitor, a sectoral development, or a macro event plausibly affecting the competitor groups. This is paired with</w:t>
      </w:r>
      <w:r>
        <w:t xml:space="preserve"> </w:t>
      </w:r>
      <w:r>
        <w:rPr>
          <w:rStyle w:val="VerbatimChar"/>
        </w:rPr>
        <w:t xml:space="preserve">relevance_type</w:t>
      </w:r>
      <w:r>
        <w:t xml:space="preserve">, which refines the reason for relevance. In the final file, the allowed categories are</w:t>
      </w:r>
      <w:r>
        <w:t xml:space="preserve"> </w:t>
      </w:r>
      <w:r>
        <w:rPr>
          <w:rStyle w:val="VerbatimChar"/>
        </w:rPr>
        <w:t xml:space="preserve">target_company_news</w:t>
      </w:r>
      <w:r>
        <w:t xml:space="preserve">,</w:t>
      </w:r>
      <w:r>
        <w:t xml:space="preserve"> </w:t>
      </w:r>
      <w:r>
        <w:rPr>
          <w:rStyle w:val="VerbatimChar"/>
        </w:rPr>
        <w:t xml:space="preserve">competitor_company_news</w:t>
      </w:r>
      <w:r>
        <w:t xml:space="preserve">,</w:t>
      </w:r>
      <w:r>
        <w:t xml:space="preserve"> </w:t>
      </w:r>
      <w:r>
        <w:rPr>
          <w:rStyle w:val="VerbatimChar"/>
        </w:rPr>
        <w:t xml:space="preserve">industry_news</w:t>
      </w:r>
      <w:r>
        <w:t xml:space="preserve">,</w:t>
      </w:r>
      <w:r>
        <w:t xml:space="preserve"> </w:t>
      </w:r>
      <w:r>
        <w:rPr>
          <w:rStyle w:val="VerbatimChar"/>
        </w:rPr>
        <w:t xml:space="preserve">macro_policy_news</w:t>
      </w:r>
      <w:r>
        <w:t xml:space="preserve">,</w:t>
      </w:r>
      <w:r>
        <w:t xml:space="preserve"> </w:t>
      </w:r>
      <w:r>
        <w:rPr>
          <w:rStyle w:val="VerbatimChar"/>
        </w:rPr>
        <w:t xml:space="preserve">market_roundup_but_relevant</w:t>
      </w:r>
      <w:r>
        <w:t xml:space="preserve">, and</w:t>
      </w:r>
      <w:r>
        <w:t xml:space="preserve"> </w:t>
      </w:r>
      <w:r>
        <w:rPr>
          <w:rStyle w:val="VerbatimChar"/>
        </w:rPr>
        <w:t xml:space="preserve">not_relevant</w:t>
      </w:r>
      <w:r>
        <w:t xml:space="preserve">. This distinction matters because later analyses should not place a clean firm event and a loosely related market roundup on the same footing without checking robustness.</w:t>
      </w:r>
    </w:p>
    <w:p>
      <w:pPr>
        <w:pStyle w:val="BodyText"/>
      </w:pPr>
      <w:r>
        <w:t xml:space="preserve">The next set of fields identifies the object of the news.</w:t>
      </w:r>
      <w:r>
        <w:t xml:space="preserve"> </w:t>
      </w:r>
      <w:r>
        <w:rPr>
          <w:rStyle w:val="VerbatimChar"/>
        </w:rPr>
        <w:t xml:space="preserve">primary_company</w:t>
      </w:r>
      <w:r>
        <w:t xml:space="preserve"> </w:t>
      </w:r>
      <w:r>
        <w:t xml:space="preserve">records the clearest focal company or ticker if one is apparent, while</w:t>
      </w:r>
      <w:r>
        <w:t xml:space="preserve"> </w:t>
      </w:r>
      <w:r>
        <w:rPr>
          <w:rStyle w:val="VerbatimChar"/>
        </w:rPr>
        <w:t xml:space="preserve">primary_industry</w:t>
      </w:r>
      <w:r>
        <w:t xml:space="preserve"> </w:t>
      </w:r>
      <w:r>
        <w:t xml:space="preserve">maps the article into one of the project’s sector buckets.</w:t>
      </w:r>
      <w:r>
        <w:t xml:space="preserve"> </w:t>
      </w:r>
      <w:r>
        <w:rPr>
          <w:rStyle w:val="VerbatimChar"/>
        </w:rPr>
        <w:t xml:space="preserve">event_type</w:t>
      </w:r>
      <w:r>
        <w:t xml:space="preserve"> </w:t>
      </w:r>
      <w:r>
        <w:t xml:space="preserve">then classifies the substance of the article, such as earnings, analyst ratings, product news, legal or regulatory developments, financing, macro shocks, or investment-advice content.</w:t>
      </w:r>
    </w:p>
    <w:p>
      <w:pPr>
        <w:pStyle w:val="BodyText"/>
      </w:pPr>
      <w:r>
        <w:t xml:space="preserve">The schema also includes fields that characterize the direction and breadth of the news signal.</w:t>
      </w:r>
      <w:r>
        <w:t xml:space="preserve"> </w:t>
      </w:r>
      <w:r>
        <w:rPr>
          <w:rStyle w:val="VerbatimChar"/>
        </w:rPr>
        <w:t xml:space="preserve">target_company_sentiment</w:t>
      </w:r>
      <w:r>
        <w:t xml:space="preserve"> </w:t>
      </w:r>
      <w:r>
        <w:t xml:space="preserve">records whether the article is interpreted as positive, negative, mixed, neutral, unclear, or not applicable for the focal company.</w:t>
      </w:r>
      <w:r>
        <w:t xml:space="preserve"> </w:t>
      </w:r>
      <w:r>
        <w:rPr>
          <w:rStyle w:val="VerbatimChar"/>
        </w:rPr>
        <w:t xml:space="preserve">news_scope</w:t>
      </w:r>
      <w:r>
        <w:t xml:space="preserve"> </w:t>
      </w:r>
      <w:r>
        <w:t xml:space="preserve">indicates whether the news is primarily</w:t>
      </w:r>
      <w:r>
        <w:t xml:space="preserve"> </w:t>
      </w:r>
      <w:r>
        <w:rPr>
          <w:rStyle w:val="VerbatimChar"/>
        </w:rPr>
        <w:t xml:space="preserve">firm_specific</w:t>
      </w:r>
      <w:r>
        <w:t xml:space="preserve">,</w:t>
      </w:r>
      <w:r>
        <w:t xml:space="preserve"> </w:t>
      </w:r>
      <w:r>
        <w:rPr>
          <w:rStyle w:val="VerbatimChar"/>
        </w:rPr>
        <w:t xml:space="preserve">industry_wide</w:t>
      </w:r>
      <w:r>
        <w:t xml:space="preserve">,</w:t>
      </w:r>
      <w:r>
        <w:t xml:space="preserve"> </w:t>
      </w:r>
      <w:r>
        <w:rPr>
          <w:rStyle w:val="VerbatimChar"/>
        </w:rPr>
        <w:t xml:space="preserve">macro_wide</w:t>
      </w:r>
      <w:r>
        <w:t xml:space="preserve">,</w:t>
      </w:r>
      <w:r>
        <w:t xml:space="preserve"> </w:t>
      </w:r>
      <w:r>
        <w:rPr>
          <w:rStyle w:val="VerbatimChar"/>
        </w:rPr>
        <w:t xml:space="preserve">mixed</w:t>
      </w:r>
      <w:r>
        <w:t xml:space="preserve">, or not applicable. Finally, the model provides two scalar fields,</w:t>
      </w:r>
      <w:r>
        <w:t xml:space="preserve"> </w:t>
      </w:r>
      <w:r>
        <w:rPr>
          <w:rStyle w:val="VerbatimChar"/>
        </w:rPr>
        <w:t xml:space="preserve">materiality</w:t>
      </w:r>
      <w:r>
        <w:t xml:space="preserve"> </w:t>
      </w:r>
      <w:r>
        <w:t xml:space="preserve">and</w:t>
      </w:r>
      <w:r>
        <w:t xml:space="preserve"> </w:t>
      </w:r>
      <w:r>
        <w:rPr>
          <w:rStyle w:val="VerbatimChar"/>
        </w:rPr>
        <w:t xml:space="preserve">confidence</w:t>
      </w:r>
      <w:r>
        <w:t xml:space="preserve">, both on a bounded integer scale, along with</w:t>
      </w:r>
      <w:r>
        <w:t xml:space="preserve"> </w:t>
      </w:r>
      <w:r>
        <w:rPr>
          <w:rStyle w:val="VerbatimChar"/>
        </w:rPr>
        <w:t xml:space="preserve">reasoning_short</w:t>
      </w:r>
      <w:r>
        <w:t xml:space="preserve">, a one-sentence explanation.</w:t>
      </w:r>
    </w:p>
    <w:p>
      <w:pPr>
        <w:pStyle w:val="BodyText"/>
      </w:pPr>
      <w:r>
        <w:t xml:space="preserve">Relevance filtering is especially important in this project because ticker-linked news collection is inherently noisy. An article can be attached to a tracked ticker for relatively weak reasons: it may be a generic stock-picking article, an ETF or portfolio roundup, a broad market recap, an analyst note focused on another company, or a summary of macro conditions that only incidentally names one of the tracked firms. The LLM therefore acts first as a relevance screen. In the final 1,250-article classified sample, 930 articles were classified as relevant and 320 as not relevant. The not-relevant category was not silently discarded. It was retained explicitly in the output file as a quality-control class, with the downstream fields set to</w:t>
      </w:r>
      <w:r>
        <w:t xml:space="preserve"> </w:t>
      </w:r>
      <w:r>
        <w:rPr>
          <w:rStyle w:val="VerbatimChar"/>
        </w:rPr>
        <w:t xml:space="preserve">not_applicable</w:t>
      </w:r>
      <w:r>
        <w:t xml:space="preserve"> </w:t>
      </w:r>
      <w:r>
        <w:t xml:space="preserve">where appropriate. That design choice makes the filtering process transparent and allows later inspection of what kinds of articles were excluded.</w:t>
      </w:r>
    </w:p>
    <w:p>
      <w:pPr>
        <w:pStyle w:val="BodyText"/>
      </w:pPr>
      <w:r>
        <w:t xml:space="preserve">The relevance-type distribution also clarifies what the LLM is doing. Among all 1,250 classified articles, 387 were classified as</w:t>
      </w:r>
      <w:r>
        <w:t xml:space="preserve"> </w:t>
      </w:r>
      <w:r>
        <w:rPr>
          <w:rStyle w:val="VerbatimChar"/>
        </w:rPr>
        <w:t xml:space="preserve">target_company_news</w:t>
      </w:r>
      <w:r>
        <w:t xml:space="preserve">, 252 as</w:t>
      </w:r>
      <w:r>
        <w:t xml:space="preserve"> </w:t>
      </w:r>
      <w:r>
        <w:rPr>
          <w:rStyle w:val="VerbatimChar"/>
        </w:rPr>
        <w:t xml:space="preserve">market_roundup_but_relevant</w:t>
      </w:r>
      <w:r>
        <w:t xml:space="preserve">, 122 as</w:t>
      </w:r>
      <w:r>
        <w:t xml:space="preserve"> </w:t>
      </w:r>
      <w:r>
        <w:rPr>
          <w:rStyle w:val="VerbatimChar"/>
        </w:rPr>
        <w:t xml:space="preserve">competitor_company_news</w:t>
      </w:r>
      <w:r>
        <w:t xml:space="preserve">, 106 as</w:t>
      </w:r>
      <w:r>
        <w:t xml:space="preserve"> </w:t>
      </w:r>
      <w:r>
        <w:rPr>
          <w:rStyle w:val="VerbatimChar"/>
        </w:rPr>
        <w:t xml:space="preserve">industry_news</w:t>
      </w:r>
      <w:r>
        <w:t xml:space="preserve">, 63 as</w:t>
      </w:r>
      <w:r>
        <w:t xml:space="preserve"> </w:t>
      </w:r>
      <w:r>
        <w:rPr>
          <w:rStyle w:val="VerbatimChar"/>
        </w:rPr>
        <w:t xml:space="preserve">macro_policy_news</w:t>
      </w:r>
      <w:r>
        <w:t xml:space="preserve">, and 320 as</w:t>
      </w:r>
      <w:r>
        <w:t xml:space="preserve"> </w:t>
      </w:r>
      <w:r>
        <w:rPr>
          <w:rStyle w:val="VerbatimChar"/>
        </w:rPr>
        <w:t xml:space="preserve">not_relevant</w:t>
      </w:r>
      <w:r>
        <w:t xml:space="preserve">. This shows that the model is not simply acting as a binary spam filter. The report-level summary table</w:t>
      </w:r>
      <w:r>
        <w:t xml:space="preserve"> </w:t>
      </w:r>
      <w:r>
        <w:rPr>
          <w:rStyle w:val="VerbatimChar"/>
        </w:rPr>
        <w:t xml:space="preserve">outputs/tables/report_llm_label_distribution.csv</w:t>
      </w:r>
      <w:r>
        <w:t xml:space="preserve"> </w:t>
      </w:r>
      <w:r>
        <w:t xml:space="preserve">records both each label’s share of all classified articles and, for relevant labels, its share within the relevant subset.</w:t>
      </w:r>
    </w:p>
    <w:p>
      <w:pPr>
        <w:pStyle w:val="BodyText"/>
      </w:pPr>
      <w:r>
        <w:t xml:space="preserve">The most important single label for the paper’s main question is</w:t>
      </w:r>
      <w:r>
        <w:t xml:space="preserve"> </w:t>
      </w:r>
      <w:r>
        <w:rPr>
          <w:rStyle w:val="VerbatimChar"/>
        </w:rPr>
        <w:t xml:space="preserve">expected_competitor_effect</w:t>
      </w:r>
      <w:r>
        <w:t xml:space="preserve">. This variable asks the model to infer the likely sign and mechanism of spillover for rivals, conditional on the article text. The category</w:t>
      </w:r>
      <w:r>
        <w:t xml:space="preserve"> </w:t>
      </w:r>
      <w:r>
        <w:rPr>
          <w:rStyle w:val="VerbatimChar"/>
        </w:rPr>
        <w:t xml:space="preserve">same_direction_contagion</w:t>
      </w:r>
      <w:r>
        <w:t xml:space="preserve"> </w:t>
      </w:r>
      <w:r>
        <w:t xml:space="preserve">means the article is interpreted as revealing common information likely to move competitors in the same direction, such as sector demand, shared regulation, common supply conditions, or broad sentiment.</w:t>
      </w:r>
      <w:r>
        <w:t xml:space="preserve"> </w:t>
      </w:r>
      <w:r>
        <w:rPr>
          <w:rStyle w:val="VerbatimChar"/>
        </w:rPr>
        <w:t xml:space="preserve">opposite_direction_competition</w:t>
      </w:r>
      <w:r>
        <w:t xml:space="preserve"> </w:t>
      </w:r>
      <w:r>
        <w:t xml:space="preserve">means the article is interpreted as shifting relative advantage, so that one firm’s gain or loss is likely to have the opposite implication for competitors.</w:t>
      </w:r>
      <w:r>
        <w:t xml:space="preserve"> </w:t>
      </w:r>
      <w:r>
        <w:rPr>
          <w:rStyle w:val="VerbatimChar"/>
        </w:rPr>
        <w:t xml:space="preserve">positive_for_competitors</w:t>
      </w:r>
      <w:r>
        <w:t xml:space="preserve"> </w:t>
      </w:r>
      <w:r>
        <w:t xml:space="preserve">and</w:t>
      </w:r>
      <w:r>
        <w:t xml:space="preserve"> </w:t>
      </w:r>
      <w:r>
        <w:rPr>
          <w:rStyle w:val="VerbatimChar"/>
        </w:rPr>
        <w:t xml:space="preserve">negative_for_competitors</w:t>
      </w:r>
      <w:r>
        <w:t xml:space="preserve"> </w:t>
      </w:r>
      <w:r>
        <w:t xml:space="preserve">allow the model to identify cases where the article is favorable or unfavorable to rivals overall without fitting neatly into the contagion-versus-substitution polarity.</w:t>
      </w:r>
      <w:r>
        <w:t xml:space="preserve"> </w:t>
      </w:r>
      <w:r>
        <w:rPr>
          <w:rStyle w:val="VerbatimChar"/>
        </w:rPr>
        <w:t xml:space="preserve">neutral_or_no_clear_effect</w:t>
      </w:r>
      <w:r>
        <w:t xml:space="preserve"> </w:t>
      </w:r>
      <w:r>
        <w:t xml:space="preserve">captures relevant articles where no clear spillover sign is evident.</w:t>
      </w:r>
      <w:r>
        <w:t xml:space="preserve"> </w:t>
      </w:r>
      <w:r>
        <w:rPr>
          <w:rStyle w:val="VerbatimChar"/>
        </w:rPr>
        <w:t xml:space="preserve">not_applicable</w:t>
      </w:r>
      <w:r>
        <w:t xml:space="preserve"> </w:t>
      </w:r>
      <w:r>
        <w:t xml:space="preserve">is used for articles classified as not relevant.</w:t>
      </w:r>
    </w:p>
    <w:p>
      <w:pPr>
        <w:pStyle w:val="BodyText"/>
      </w:pPr>
      <w:r>
        <w:t xml:space="preserve">This label is central because it translates qualitative business interpretation into a testable event-study variable. Rather than assuming in advance that all firm news should produce either co-movement or opposite movement, the project allows the model to classify the article’s implied competitor logic ex ante. The later empirical analysis can then ask whether realized abnormal returns are consistent with that text-based interpretation. In the final classified file,</w:t>
      </w:r>
      <w:r>
        <w:t xml:space="preserve"> </w:t>
      </w:r>
      <w:r>
        <w:rPr>
          <w:rStyle w:val="VerbatimChar"/>
        </w:rPr>
        <w:t xml:space="preserve">same_direction_contagion</w:t>
      </w:r>
      <w:r>
        <w:t xml:space="preserve"> </w:t>
      </w:r>
      <w:r>
        <w:t xml:space="preserve">is the most common expected effect category with 575 articles, followed by</w:t>
      </w:r>
      <w:r>
        <w:t xml:space="preserve"> </w:t>
      </w:r>
      <w:r>
        <w:rPr>
          <w:rStyle w:val="VerbatimChar"/>
        </w:rPr>
        <w:t xml:space="preserve">neutral_or_no_clear_effect</w:t>
      </w:r>
      <w:r>
        <w:t xml:space="preserve"> </w:t>
      </w:r>
      <w:r>
        <w:t xml:space="preserve">with 312. The more competition-oriented and sign-specific categories are much smaller:</w:t>
      </w:r>
      <w:r>
        <w:t xml:space="preserve"> </w:t>
      </w:r>
      <w:r>
        <w:rPr>
          <w:rStyle w:val="VerbatimChar"/>
        </w:rPr>
        <w:t xml:space="preserve">negative_for_competitors</w:t>
      </w:r>
      <w:r>
        <w:t xml:space="preserve"> </w:t>
      </w:r>
      <w:r>
        <w:t xml:space="preserve">appears 20 times,</w:t>
      </w:r>
      <w:r>
        <w:t xml:space="preserve"> </w:t>
      </w:r>
      <w:r>
        <w:rPr>
          <w:rStyle w:val="VerbatimChar"/>
        </w:rPr>
        <w:t xml:space="preserve">positive_for_competitors</w:t>
      </w:r>
      <w:r>
        <w:t xml:space="preserve"> </w:t>
      </w:r>
      <w:r>
        <w:t xml:space="preserve">15 times, and</w:t>
      </w:r>
      <w:r>
        <w:t xml:space="preserve"> </w:t>
      </w:r>
      <w:r>
        <w:rPr>
          <w:rStyle w:val="VerbatimChar"/>
        </w:rPr>
        <w:t xml:space="preserve">opposite_direction_competition</w:t>
      </w:r>
      <w:r>
        <w:t xml:space="preserve"> </w:t>
      </w:r>
      <w:r>
        <w:t xml:space="preserve">8 times, while 320 rows are</w:t>
      </w:r>
      <w:r>
        <w:t xml:space="preserve"> </w:t>
      </w:r>
      <w:r>
        <w:rPr>
          <w:rStyle w:val="VerbatimChar"/>
        </w:rPr>
        <w:t xml:space="preserve">not_applicable</w:t>
      </w:r>
      <w:r>
        <w:t xml:space="preserve"> </w:t>
      </w:r>
      <w:r>
        <w:t xml:space="preserve">because the article was screened out at the relevance stage.</w:t>
      </w:r>
    </w:p>
    <w:p>
      <w:pPr>
        <w:pStyle w:val="BodyText"/>
      </w:pPr>
      <w:r>
        <w:t xml:space="preserve">The LLM outputs also determine the sample screens used later in the empirical analysis. The broad sample is defined as all articles with</w:t>
      </w:r>
      <w:r>
        <w:t xml:space="preserve"> </w:t>
      </w:r>
      <w:r>
        <w:rPr>
          <w:rStyle w:val="VerbatimChar"/>
        </w:rPr>
        <w:t xml:space="preserve">is_relevant == true</w:t>
      </w:r>
      <w:r>
        <w:t xml:space="preserve">. The strict sample excludes the relatively loose</w:t>
      </w:r>
      <w:r>
        <w:t xml:space="preserve"> </w:t>
      </w:r>
      <w:r>
        <w:rPr>
          <w:rStyle w:val="VerbatimChar"/>
        </w:rPr>
        <w:t xml:space="preserve">market_roundup_but_relevant</w:t>
      </w:r>
      <w:r>
        <w:t xml:space="preserve"> </w:t>
      </w:r>
      <w:r>
        <w:t xml:space="preserve">category by requiring</w:t>
      </w:r>
      <w:r>
        <w:t xml:space="preserve"> </w:t>
      </w:r>
      <w:r>
        <w:rPr>
          <w:rStyle w:val="VerbatimChar"/>
        </w:rPr>
        <w:t xml:space="preserve">is_relevant == true</w:t>
      </w:r>
      <w:r>
        <w:t xml:space="preserve"> </w:t>
      </w:r>
      <w:r>
        <w:t xml:space="preserve">and</w:t>
      </w:r>
      <w:r>
        <w:t xml:space="preserve"> </w:t>
      </w:r>
      <w:r>
        <w:rPr>
          <w:rStyle w:val="VerbatimChar"/>
        </w:rPr>
        <w:t xml:space="preserve">relevance_type != market_roundup_but_relevant</w:t>
      </w:r>
      <w:r>
        <w:t xml:space="preserve">. The very strict sample applies an additional filter on the model’s intensity and certainty proxies by requiring the strict criteria plus</w:t>
      </w:r>
      <w:r>
        <w:t xml:space="preserve"> </w:t>
      </w:r>
      <w:r>
        <w:rPr>
          <w:rStyle w:val="VerbatimChar"/>
        </w:rPr>
        <w:t xml:space="preserve">materiality &gt;= 3</w:t>
      </w:r>
      <w:r>
        <w:t xml:space="preserve"> </w:t>
      </w:r>
      <w:r>
        <w:t xml:space="preserve">and</w:t>
      </w:r>
      <w:r>
        <w:t xml:space="preserve"> </w:t>
      </w:r>
      <w:r>
        <w:rPr>
          <w:rStyle w:val="VerbatimChar"/>
        </w:rPr>
        <w:t xml:space="preserve">confidence &gt;= 4</w:t>
      </w:r>
      <w:r>
        <w:t xml:space="preserve">.</w:t>
      </w:r>
    </w:p>
    <w:p>
      <w:pPr>
        <w:pStyle w:val="BodyText"/>
      </w:pPr>
      <w:r>
        <w:t xml:space="preserve">Quality control was built into the workflow at several points. The final file contains 1,250 successful classifications and 0 final errors. The output summaries and sample files also preserve evidence for manual inspection. Relevant articles are sampled into one audit file, not-relevant articles into another, and a low-confidence inspection file is constructed by sorting toward the lowest-confidence rows first. In the final labeled sample, 46 articles have confidence values of 3 or below, so the low-confidence inspection process is substantively meaningful even though the overall confidence distribution is high. Articles classified as not relevant were kept as an explicit category rather than dropped without trace, and lower-confidence outputs were surfaced for review rather than assumed to be equally reliable.</w:t>
      </w:r>
    </w:p>
    <w:p>
      <w:pPr>
        <w:pStyle w:val="BodyText"/>
      </w:pPr>
      <w:r>
        <w:t xml:space="preserve">Taken together, the LLM layer converts a noisy but economically rich news sample into a structured dataset that can support the event-study design. It does so by applying a fixed prompt, requesting structured JSON output, validating returned labels, retaining excluded cases transparently, and exporting a final classification file with auditable metadata. The resulting variables do not eliminate judgment from the analysis; instead, they standardize it. Section 4 therefore turns from text classification to research design and shows how these labels are merged with stock-return data to construct the abnormal-return event-study framework.</w:t>
      </w:r>
    </w:p>
    <w:bookmarkEnd w:id="12"/>
    <w:bookmarkStart w:id="13" w:name="event-study-methodology"/>
    <w:p>
      <w:pPr>
        <w:pStyle w:val="Heading2"/>
      </w:pPr>
      <w:r>
        <w:t xml:space="preserve">4. Event-Study Methodology</w:t>
      </w:r>
    </w:p>
    <w:p>
      <w:pPr>
        <w:pStyle w:val="FirstParagraph"/>
      </w:pPr>
      <w:r>
        <w:t xml:space="preserve">Once the sampled articles have been converted into structured LLM labels, the next task is to connect those labels to observable stock-market reactions. The project does this through an exploratory event-study design built around competitor firms rather than only focal firms, following standard daily-return event-study practice (Brown &amp; Warner, 1985; MacKinlay, 1997). The key idea is straightforward: if a news article about one company contains information relevant for its rivals, then competitors may exhibit abnormal returns around the article’s publication date. The methodology therefore combines three ingredients: daily price data for the competitor-group universe, benchmark-adjusted return measures, and an event panel that expands each relevant article into source-firm and competitor-firm pairs within the same predefined group.</w:t>
      </w:r>
    </w:p>
    <w:p>
      <w:pPr>
        <w:pStyle w:val="BodyText"/>
      </w:pPr>
      <w:r>
        <w:t xml:space="preserve">Daily price data were collected using yfinance. The price universe includes the firms in the five competitor groups introduced earlier, together with two benchmark ETFs, SPY and QQQ. In total, the stored price file contains 24 tickers: the 22 group firms plus SPY and QQQ. SPY is the main market benchmark for abnormal-return construction because it provides a broad proxy for overall U.S. equity market movements. QQQ is kept as an additional benchmark in the daily returns file because several firms in the sample are technology heavy. In the realized stored data,</w:t>
      </w:r>
      <w:r>
        <w:t xml:space="preserve"> </w:t>
      </w:r>
      <w:r>
        <w:rPr>
          <w:rStyle w:val="VerbatimChar"/>
        </w:rPr>
        <w:t xml:space="preserve">data/raw/prices/yfinance_daily_prices.csv</w:t>
      </w:r>
      <w:r>
        <w:t xml:space="preserve"> </w:t>
      </w:r>
      <w:r>
        <w:t xml:space="preserve">contains 6,360 daily price rows covering 2025-05-30 through 2026-06-18.</w:t>
      </w:r>
    </w:p>
    <w:p>
      <w:pPr>
        <w:pStyle w:val="BodyText"/>
      </w:pPr>
      <w:r>
        <w:t xml:space="preserve">The date window for price collection is inferred from the LLM-classified article dates and then buffered. The script requests a start date 30 calendar days before the earliest classified article and an end date 10 calendar days after the latest classified article. In the final classification file, the article dates run from 2025-06-29 to 2026-06-21, so the requested buffered window begins on 2025-05-30. The stored price file ends on 2026-06-18, close to the end of the classified news period and consistent with the realized market data available at build time.</w:t>
      </w:r>
    </w:p>
    <w:p>
      <w:pPr>
        <w:pStyle w:val="BodyText"/>
      </w:pPr>
      <w:r>
        <w:t xml:space="preserve">Returns are then built from adjusted close prices rather than raw close prices. This is the appropriate choice for event-study work because adjusted prices incorporate stock splits and dividend adjustments, yielding a cleaner measure of investor return through time. The daily returns script computes simple returns and log returns for every ticker, but the main empirical analysis uses simple returns. For ticker (i) on trading day (t), the simple return is defined as:</w:t>
      </w:r>
    </w:p>
    <w:p>
      <w:pPr>
        <w:pStyle w:val="BodyText"/>
      </w:pPr>
      <w:r>
        <w:t xml:space="preserve">Return_{i,t} = AdjClose_{i,t} / AdjClose_{i,t-1} - 1</w:t>
      </w:r>
    </w:p>
    <w:p>
      <w:pPr>
        <w:pStyle w:val="BodyText"/>
      </w:pPr>
      <w:r>
        <w:t xml:space="preserve">The event study then benchmarks these returns against the market. The main abnormal-return measure subtracts the SPY return from the stock’s own return on the same date:</w:t>
      </w:r>
    </w:p>
    <w:p>
      <w:pPr>
        <w:pStyle w:val="BodyText"/>
      </w:pPr>
      <w:r>
        <w:t xml:space="preserve">AbnormalReturn_{i,t} = Return_{i,t} - Return_{SPY,t}</w:t>
      </w:r>
    </w:p>
    <w:p>
      <w:pPr>
        <w:pStyle w:val="BodyText"/>
      </w:pPr>
      <w:r>
        <w:t xml:space="preserve">These SPY-adjusted abnormal returns are the primary outcome variables in the report. The daily returns file also stores QQQ-adjusted abnormal returns as a secondary benchmark, but the event-panel outcomes used in the core analysis are based on SPY. This choice keeps the main design simple and interpretable while still preserving an alternative benchmark for future robustness work.</w:t>
      </w:r>
    </w:p>
    <w:p>
      <w:pPr>
        <w:pStyle w:val="BodyText"/>
      </w:pPr>
      <w:r>
        <w:t xml:space="preserve">Event-date handling is a particularly important methodological choice in this project. The news data provide publication dates, but not intraday timestamps that are reliable enough for clean before-close versus after-close classification across all articles. As a result, the methodology does not assume that a story published on date (t) necessarily reached the market before the close on that same trading day. Instead, each article publication date is mapped to the next available trading day in the SPY calendar. If the publication date is itself a trading day, that date becomes event day (t0). If it falls on a weekend or market holiday, the event is shifted forward to the next trading session. In the realized panel, most rows map directly onto the same calendar day, but a smaller subset shifts by one or more days because the publication date is not a trading day.</w:t>
      </w:r>
    </w:p>
    <w:p>
      <w:pPr>
        <w:pStyle w:val="BodyText"/>
      </w:pPr>
      <w:r>
        <w:t xml:space="preserve">This mapping rule supports the paper’s main reaction window. Because intraday release timing is uncertain, the next-trading-day abnormal return, denoted (t1), is treated as the safest primary response measure. Event-day returns are still retained in the panel and are used in one cumulative-return outcome, but the next-day window is methodologically cleaner as the baseline specification.</w:t>
      </w:r>
    </w:p>
    <w:p>
      <w:pPr>
        <w:pStyle w:val="BodyText"/>
      </w:pPr>
      <w:r>
        <w:t xml:space="preserve">The event panel itself is built from relevant LLM-classified articles and the article-ticker link table. The resulting row structure is:</w:t>
      </w:r>
    </w:p>
    <w:p>
      <w:pPr>
        <w:pStyle w:val="BodyText"/>
      </w:pPr>
      <w:r>
        <w:t xml:space="preserve">article_id x source_ticker x competitor_ticker</w:t>
      </w:r>
    </w:p>
    <w:p>
      <w:pPr>
        <w:pStyle w:val="BodyText"/>
      </w:pPr>
      <w:r>
        <w:t xml:space="preserve">Here,</w:t>
      </w:r>
      <w:r>
        <w:t xml:space="preserve"> </w:t>
      </w:r>
      <w:r>
        <w:rPr>
          <w:rStyle w:val="VerbatimChar"/>
        </w:rPr>
        <w:t xml:space="preserve">source_ticker</w:t>
      </w:r>
      <w:r>
        <w:t xml:space="preserve"> </w:t>
      </w:r>
      <w:r>
        <w:t xml:space="preserve">is the ticker linked to the news article through the original collection process, while</w:t>
      </w:r>
      <w:r>
        <w:t xml:space="preserve"> </w:t>
      </w:r>
      <w:r>
        <w:rPr>
          <w:rStyle w:val="VerbatimChar"/>
        </w:rPr>
        <w:t xml:space="preserve">competitor_ticker</w:t>
      </w:r>
      <w:r>
        <w:t xml:space="preserve"> </w:t>
      </w:r>
      <w:r>
        <w:t xml:space="preserve">is another ticker from the same predefined competitor group. Rows where the source ticker and competitor ticker are the same are excluded by construction. This design is important because it converts each relevant article into a set of pairwise spillover observations. A news article about Delta, for example, can generate competitor rows for United, American, and Southwest. A news article linked to Nvidia can generate rows for AMD, Intel, Qualcomm, and Broadcom. The panel therefore operationalizes the research question directly: it asks whether firms in the same competitive set react when one member of that set receives news.</w:t>
      </w:r>
    </w:p>
    <w:p>
      <w:pPr>
        <w:pStyle w:val="BodyText"/>
      </w:pPr>
      <w:r>
        <w:t xml:space="preserve">This expansion step materially increases the number of observations relative to the number of unique relevant articles. The final classification file contains 930 relevant articles, and these generate 1,351 unique article-source events once article-level relevance is merged back to source tickers. After competitor expansion, the stored panel</w:t>
      </w:r>
      <w:r>
        <w:t xml:space="preserve"> </w:t>
      </w:r>
      <w:r>
        <w:rPr>
          <w:rStyle w:val="VerbatimChar"/>
        </w:rPr>
        <w:t xml:space="preserve">data/processed/news_competitor_event_panel.csv</w:t>
      </w:r>
      <w:r>
        <w:t xml:space="preserve"> </w:t>
      </w:r>
      <w:r>
        <w:t xml:space="preserve">contains 4,544 event-panel rows. The report-level tables</w:t>
      </w:r>
      <w:r>
        <w:t xml:space="preserve"> </w:t>
      </w:r>
      <w:r>
        <w:rPr>
          <w:rStyle w:val="VerbatimChar"/>
        </w:rPr>
        <w:t xml:space="preserve">outputs/tables/report_dataset_construction.csv</w:t>
      </w:r>
      <w:r>
        <w:t xml:space="preserve"> </w:t>
      </w:r>
      <w:r>
        <w:t xml:space="preserve">and</w:t>
      </w:r>
      <w:r>
        <w:t xml:space="preserve"> </w:t>
      </w:r>
      <w:r>
        <w:rPr>
          <w:rStyle w:val="VerbatimChar"/>
        </w:rPr>
        <w:t xml:space="preserve">outputs/tables/report_event_panel_counts.csv</w:t>
      </w:r>
      <w:r>
        <w:t xml:space="preserve"> </w:t>
      </w:r>
      <w:r>
        <w:t xml:space="preserve">summarize these construction counts and the nested sample definitions used later in the analysis.</w:t>
      </w:r>
    </w:p>
    <w:p>
      <w:pPr>
        <w:pStyle w:val="BodyText"/>
      </w:pPr>
      <w:r>
        <w:t xml:space="preserve">For each event-panel row, the script stores both source-firm and competitor-firm returns across a short horizon. The main competitor outcome variables used in the report are</w:t>
      </w:r>
      <w:r>
        <w:t xml:space="preserve"> </w:t>
      </w:r>
      <w:r>
        <w:rPr>
          <w:rStyle w:val="VerbatimChar"/>
        </w:rPr>
        <w:t xml:space="preserve">competitor_abret_spy_t1</w:t>
      </w:r>
      <w:r>
        <w:t xml:space="preserve">,</w:t>
      </w:r>
      <w:r>
        <w:t xml:space="preserve"> </w:t>
      </w:r>
      <w:r>
        <w:rPr>
          <w:rStyle w:val="VerbatimChar"/>
        </w:rPr>
        <w:t xml:space="preserve">competitor_car_abret_spy_0_1</w:t>
      </w:r>
      <w:r>
        <w:t xml:space="preserve">, and</w:t>
      </w:r>
      <w:r>
        <w:t xml:space="preserve"> </w:t>
      </w:r>
      <w:r>
        <w:rPr>
          <w:rStyle w:val="VerbatimChar"/>
        </w:rPr>
        <w:t xml:space="preserve">competitor_car_abret_spy_1_3</w:t>
      </w:r>
      <w:r>
        <w:t xml:space="preserve">. Their interpretation is as follows.</w:t>
      </w:r>
      <w:r>
        <w:t xml:space="preserve"> </w:t>
      </w:r>
      <w:r>
        <w:rPr>
          <w:rStyle w:val="VerbatimChar"/>
        </w:rPr>
        <w:t xml:space="preserve">competitor_abret_spy_t1</w:t>
      </w:r>
      <w:r>
        <w:t xml:space="preserve"> </w:t>
      </w:r>
      <w:r>
        <w:t xml:space="preserve">is the competitor’s next-trading-day abnormal return relative to SPY and is the cleanest single-day reaction measure.</w:t>
      </w:r>
      <w:r>
        <w:t xml:space="preserve"> </w:t>
      </w:r>
      <w:r>
        <w:rPr>
          <w:rStyle w:val="VerbatimChar"/>
        </w:rPr>
        <w:t xml:space="preserve">competitor_car_abret_spy_0_1</w:t>
      </w:r>
      <w:r>
        <w:t xml:space="preserve"> </w:t>
      </w:r>
      <w:r>
        <w:t xml:space="preserve">is the cumulative abnormal return over the event day and the next trading day.</w:t>
      </w:r>
      <w:r>
        <w:t xml:space="preserve"> </w:t>
      </w:r>
      <w:r>
        <w:rPr>
          <w:rStyle w:val="VerbatimChar"/>
        </w:rPr>
        <w:t xml:space="preserve">competitor_car_abret_spy_1_3</w:t>
      </w:r>
      <w:r>
        <w:t xml:space="preserve"> </w:t>
      </w:r>
      <w:r>
        <w:t xml:space="preserve">is the cumulative abnormal return from one to three trading days after the event. In formula form:</w:t>
      </w:r>
    </w:p>
    <w:p>
      <w:pPr>
        <w:pStyle w:val="BodyText"/>
      </w:pPr>
      <w:r>
        <w:t xml:space="preserve">CAR(0,1) = AbRet_t0 + AbRet_t1</w:t>
      </w:r>
    </w:p>
    <w:p>
      <w:pPr>
        <w:pStyle w:val="BodyText"/>
      </w:pPr>
      <w:r>
        <w:t xml:space="preserve">CAR(1,3) = AbRet_t1 + AbRet_t2 + AbRet_t3</w:t>
      </w:r>
    </w:p>
    <w:p>
      <w:pPr>
        <w:pStyle w:val="BodyText"/>
      </w:pPr>
      <w:r>
        <w:t xml:space="preserve">These windows balance timing uncertainty against the possibility that market reactions unfold over more than one session. The (t1) specification is the most conservative timing choice. CAR(0,1) allows for some same-day incorporation, while CAR(1,3) allows for slower adjustment or delayed spillover recognition.</w:t>
      </w:r>
    </w:p>
    <w:p>
      <w:pPr>
        <w:pStyle w:val="BodyText"/>
      </w:pPr>
      <w:r>
        <w:t xml:space="preserve">The event panel also stores intermediate dates such as</w:t>
      </w:r>
      <w:r>
        <w:t xml:space="preserve"> </w:t>
      </w:r>
      <w:r>
        <w:rPr>
          <w:rStyle w:val="VerbatimChar"/>
        </w:rPr>
        <w:t xml:space="preserve">t0_date</w:t>
      </w:r>
      <w:r>
        <w:t xml:space="preserve">,</w:t>
      </w:r>
      <w:r>
        <w:t xml:space="preserve"> </w:t>
      </w:r>
      <w:r>
        <w:rPr>
          <w:rStyle w:val="VerbatimChar"/>
        </w:rPr>
        <w:t xml:space="preserve">t1_date</w:t>
      </w:r>
      <w:r>
        <w:t xml:space="preserve">,</w:t>
      </w:r>
      <w:r>
        <w:t xml:space="preserve"> </w:t>
      </w:r>
      <w:r>
        <w:rPr>
          <w:rStyle w:val="VerbatimChar"/>
        </w:rPr>
        <w:t xml:space="preserve">t2_date</w:t>
      </w:r>
      <w:r>
        <w:t xml:space="preserve">, and</w:t>
      </w:r>
      <w:r>
        <w:t xml:space="preserve"> </w:t>
      </w:r>
      <w:r>
        <w:rPr>
          <w:rStyle w:val="VerbatimChar"/>
        </w:rPr>
        <w:t xml:space="preserve">t3_date</w:t>
      </w:r>
      <w:r>
        <w:t xml:space="preserve">, together with event-day offsets and source-firm return counterparts. Because the realized price file ends on 2026-06-18 while some classified articles arrive close to the end of the news period, not every row has full post-event coverage through (t3). The methodology handles this transparently by storing the underlying return fields directly and using available observations for each outcome.</w:t>
      </w:r>
    </w:p>
    <w:p>
      <w:pPr>
        <w:pStyle w:val="BodyText"/>
      </w:pPr>
      <w:r>
        <w:t xml:space="preserve">The empirical sample definitions used in Section 5 are inherited from the LLM classification layer. The broad sample includes all event-panel rows where</w:t>
      </w:r>
      <w:r>
        <w:t xml:space="preserve"> </w:t>
      </w:r>
      <w:r>
        <w:rPr>
          <w:rStyle w:val="VerbatimChar"/>
        </w:rPr>
        <w:t xml:space="preserve">is_relevant</w:t>
      </w:r>
      <w:r>
        <w:t xml:space="preserve"> </w:t>
      </w:r>
      <w:r>
        <w:t xml:space="preserve">is true. In the realized data this equals the full panel of 4,544 rows. The strict sample excludes the looser</w:t>
      </w:r>
      <w:r>
        <w:t xml:space="preserve"> </w:t>
      </w:r>
      <w:r>
        <w:rPr>
          <w:rStyle w:val="VerbatimChar"/>
        </w:rPr>
        <w:t xml:space="preserve">market_roundup_but_relevant</w:t>
      </w:r>
      <w:r>
        <w:t xml:space="preserve"> </w:t>
      </w:r>
      <w:r>
        <w:t xml:space="preserve">category, leaving 2,973 rows. The very strict sample applies stronger materiality and confidence filters on top of the strict definition, leaving 2,273 rows.</w:t>
      </w:r>
    </w:p>
    <w:p>
      <w:pPr>
        <w:pStyle w:val="BodyText"/>
      </w:pPr>
      <w:r>
        <w:t xml:space="preserve">The statistical analysis preview is intentionally simple. Section 5 first compares mean competitor abnormal returns across key LLM-defined categories and then estimates linear regressions in which competitor abnormal returns are explained by structured article labels. The main explanatory variables verified in</w:t>
      </w:r>
      <w:r>
        <w:t xml:space="preserve"> </w:t>
      </w:r>
      <w:r>
        <w:rPr>
          <w:rStyle w:val="VerbatimChar"/>
        </w:rPr>
        <w:t xml:space="preserve">scripts/run_event_analysis.py</w:t>
      </w:r>
      <w:r>
        <w:t xml:space="preserve"> </w:t>
      </w:r>
      <w:r>
        <w:t xml:space="preserve">include</w:t>
      </w:r>
      <w:r>
        <w:t xml:space="preserve"> </w:t>
      </w:r>
      <w:r>
        <w:rPr>
          <w:rStyle w:val="VerbatimChar"/>
        </w:rPr>
        <w:t xml:space="preserve">target_company_sentiment</w:t>
      </w:r>
      <w:r>
        <w:t xml:space="preserve">,</w:t>
      </w:r>
      <w:r>
        <w:t xml:space="preserve"> </w:t>
      </w:r>
      <w:r>
        <w:rPr>
          <w:rStyle w:val="VerbatimChar"/>
        </w:rPr>
        <w:t xml:space="preserve">relevance_type</w:t>
      </w:r>
      <w:r>
        <w:t xml:space="preserve">,</w:t>
      </w:r>
      <w:r>
        <w:t xml:space="preserve"> </w:t>
      </w:r>
      <w:r>
        <w:rPr>
          <w:rStyle w:val="VerbatimChar"/>
        </w:rPr>
        <w:t xml:space="preserve">primary_industry</w:t>
      </w:r>
      <w:r>
        <w:t xml:space="preserve">, and</w:t>
      </w:r>
      <w:r>
        <w:t xml:space="preserve"> </w:t>
      </w:r>
      <w:r>
        <w:rPr>
          <w:rStyle w:val="VerbatimChar"/>
        </w:rPr>
        <w:t xml:space="preserve">expected_competitor_effect</w:t>
      </w:r>
      <w:r>
        <w:t xml:space="preserve">. The regression implementation uses ordinary least squares and, when there are at least two unique articles in the estimation sample, applies clustered standard errors at the</w:t>
      </w:r>
      <w:r>
        <w:t xml:space="preserve"> </w:t>
      </w:r>
      <w:r>
        <w:rPr>
          <w:rStyle w:val="VerbatimChar"/>
        </w:rPr>
        <w:t xml:space="preserve">article_id</w:t>
      </w:r>
      <w:r>
        <w:t xml:space="preserve"> </w:t>
      </w:r>
      <w:r>
        <w:t xml:space="preserve">level; otherwise it falls back to HC3 robust standard errors.</w:t>
      </w:r>
    </w:p>
    <w:p>
      <w:pPr>
        <w:pStyle w:val="BodyText"/>
      </w:pPr>
      <w:r>
        <w:t xml:space="preserve">Overall, the event-study methodology translates article-level interpretations into a panel of competitor-return observations anchored on transparent timing and benchmark choices. Price data are collected for the competitor-group universe plus market benchmarks, daily returns are built from adjusted close prices, publication dates are mapped conservatively into trading dates, and each relevant article is expanded into source-firm and rival-firm pairs within predefined groups. The resulting panel is not a claim of causal identification in a narrow experimental sense. Rather, it is a disciplined framework for testing whether LLM-classified news categories are associated with short-run abnormal return responses among direct competitors. Section 5 turns from design to evidence and reports the descriptive and regression results from that framework.</w:t>
      </w:r>
    </w:p>
    <w:bookmarkEnd w:id="13"/>
    <w:bookmarkStart w:id="14" w:name="empirical-results"/>
    <w:p>
      <w:pPr>
        <w:pStyle w:val="Heading2"/>
      </w:pPr>
      <w:r>
        <w:t xml:space="preserve">5. Empirical Results</w:t>
      </w:r>
    </w:p>
    <w:p>
      <w:pPr>
        <w:pStyle w:val="FirstParagraph"/>
      </w:pPr>
      <w:r>
        <w:t xml:space="preserve">The final event-study sample contains 4,544 competitor-panel rows generated from 930 relevant classified articles and 1,351 unique article-source events. As discussed in Section 4, these rows are the product of expanding each relevant article into source-firm and competitor-firm pairs within the same predefined group. The broad sample is identical to the full relevant panel and therefore also contains 4,544 rows. The strict sample, which excludes</w:t>
      </w:r>
      <w:r>
        <w:t xml:space="preserve"> </w:t>
      </w:r>
      <w:r>
        <w:rPr>
          <w:rStyle w:val="VerbatimChar"/>
        </w:rPr>
        <w:t xml:space="preserve">market_roundup_but_relevant</w:t>
      </w:r>
      <w:r>
        <w:t xml:space="preserve">, contains 2,973 rows, while the very strict sample, which also imposes materiality and confidence thresholds, contains 2,273 rows. Because some late events do not have complete post-event price coverage, the usable observation count is slightly lower for the return outcomes themselves: in the broad sample, 4,433 rows have nonmissing next-day abnormal returns and 4,495 rows have nonmissing CAR(0,1).</w:t>
      </w:r>
    </w:p>
    <w:p>
      <w:pPr>
        <w:pStyle w:val="BodyText"/>
      </w:pPr>
      <w:r>
        <w:t xml:space="preserve">The first descriptive result concerns the composition of the event set. Event counts based on unique article-source events show that the sample is not dominated by one single type of firm news. In</w:t>
      </w:r>
      <w:r>
        <w:t xml:space="preserve"> </w:t>
      </w:r>
      <w:r>
        <w:rPr>
          <w:rStyle w:val="VerbatimChar"/>
        </w:rPr>
        <w:t xml:space="preserve">relevance_type</w:t>
      </w:r>
      <w:r>
        <w:t xml:space="preserve">, the two largest groups are</w:t>
      </w:r>
      <w:r>
        <w:t xml:space="preserve"> </w:t>
      </w:r>
      <w:r>
        <w:rPr>
          <w:rStyle w:val="VerbatimChar"/>
        </w:rPr>
        <w:t xml:space="preserve">market_roundup_but_relevant</w:t>
      </w:r>
      <w:r>
        <w:t xml:space="preserve"> </w:t>
      </w:r>
      <w:r>
        <w:t xml:space="preserve">with 453 events and</w:t>
      </w:r>
      <w:r>
        <w:t xml:space="preserve"> </w:t>
      </w:r>
      <w:r>
        <w:rPr>
          <w:rStyle w:val="VerbatimChar"/>
        </w:rPr>
        <w:t xml:space="preserve">target_company_news</w:t>
      </w:r>
      <w:r>
        <w:t xml:space="preserve"> </w:t>
      </w:r>
      <w:r>
        <w:t xml:space="preserve">with 450, followed by</w:t>
      </w:r>
      <w:r>
        <w:t xml:space="preserve"> </w:t>
      </w:r>
      <w:r>
        <w:rPr>
          <w:rStyle w:val="VerbatimChar"/>
        </w:rPr>
        <w:t xml:space="preserve">industry_news</w:t>
      </w:r>
      <w:r>
        <w:t xml:space="preserve"> </w:t>
      </w:r>
      <w:r>
        <w:t xml:space="preserve">with 207,</w:t>
      </w:r>
      <w:r>
        <w:t xml:space="preserve"> </w:t>
      </w:r>
      <w:r>
        <w:rPr>
          <w:rStyle w:val="VerbatimChar"/>
        </w:rPr>
        <w:t xml:space="preserve">competitor_company_news</w:t>
      </w:r>
      <w:r>
        <w:t xml:space="preserve"> </w:t>
      </w:r>
      <w:r>
        <w:t xml:space="preserve">with 160, and</w:t>
      </w:r>
      <w:r>
        <w:t xml:space="preserve"> </w:t>
      </w:r>
      <w:r>
        <w:rPr>
          <w:rStyle w:val="VerbatimChar"/>
        </w:rPr>
        <w:t xml:space="preserve">macro_policy_news</w:t>
      </w:r>
      <w:r>
        <w:t xml:space="preserve"> </w:t>
      </w:r>
      <w:r>
        <w:t xml:space="preserve">with 81. This composition matters because it shows that the broad panel combines clean firm-specific news with broader market and sector commentary. Looking instead at</w:t>
      </w:r>
      <w:r>
        <w:t xml:space="preserve"> </w:t>
      </w:r>
      <w:r>
        <w:rPr>
          <w:rStyle w:val="VerbatimChar"/>
        </w:rPr>
        <w:t xml:space="preserve">expected_competitor_effect</w:t>
      </w:r>
      <w:r>
        <w:t xml:space="preserve">, the distribution is much more concentrated.</w:t>
      </w:r>
      <w:r>
        <w:t xml:space="preserve"> </w:t>
      </w:r>
      <w:r>
        <w:rPr>
          <w:rStyle w:val="VerbatimChar"/>
        </w:rPr>
        <w:t xml:space="preserve">same_direction_contagion</w:t>
      </w:r>
      <w:r>
        <w:t xml:space="preserve"> </w:t>
      </w:r>
      <w:r>
        <w:t xml:space="preserve">accounts for 920 of the 1,351 article-source events, while</w:t>
      </w:r>
      <w:r>
        <w:t xml:space="preserve"> </w:t>
      </w:r>
      <w:r>
        <w:rPr>
          <w:rStyle w:val="VerbatimChar"/>
        </w:rPr>
        <w:t xml:space="preserve">neutral_or_no_clear_effect</w:t>
      </w:r>
      <w:r>
        <w:t xml:space="preserve"> </w:t>
      </w:r>
      <w:r>
        <w:t xml:space="preserve">accounts for 365. The competition-oriented and sign-specific categories are sparse by comparison: only 32 events are classified as</w:t>
      </w:r>
      <w:r>
        <w:t xml:space="preserve"> </w:t>
      </w:r>
      <w:r>
        <w:rPr>
          <w:rStyle w:val="VerbatimChar"/>
        </w:rPr>
        <w:t xml:space="preserve">negative_for_competitors</w:t>
      </w:r>
      <w:r>
        <w:t xml:space="preserve">, 23 as</w:t>
      </w:r>
      <w:r>
        <w:t xml:space="preserve"> </w:t>
      </w:r>
      <w:r>
        <w:rPr>
          <w:rStyle w:val="VerbatimChar"/>
        </w:rPr>
        <w:t xml:space="preserve">positive_for_competitors</w:t>
      </w:r>
      <w:r>
        <w:t xml:space="preserve">, and 11 as</w:t>
      </w:r>
      <w:r>
        <w:t xml:space="preserve"> </w:t>
      </w:r>
      <w:r>
        <w:rPr>
          <w:rStyle w:val="VerbatimChar"/>
        </w:rPr>
        <w:t xml:space="preserve">opposite_direction_competition</w:t>
      </w:r>
      <w:r>
        <w:t xml:space="preserve">. This imbalance is important for interpreting later results, because the strongest competition-style average returns are estimated from relatively few observations.</w:t>
      </w:r>
    </w:p>
    <w:p>
      <w:pPr>
        <w:pStyle w:val="BodyText"/>
      </w:pPr>
      <w:r>
        <w:t xml:space="preserve">The other descriptive dimensions reinforce this point. In</w:t>
      </w:r>
      <w:r>
        <w:t xml:space="preserve"> </w:t>
      </w:r>
      <w:r>
        <w:rPr>
          <w:rStyle w:val="VerbatimChar"/>
        </w:rPr>
        <w:t xml:space="preserve">target_company_sentiment</w:t>
      </w:r>
      <w:r>
        <w:t xml:space="preserve">, positive events are the largest group with 500 article-source events, followed by 352 negative and 351 neutral events; mixed and unclear cases are much less common. In</w:t>
      </w:r>
      <w:r>
        <w:t xml:space="preserve"> </w:t>
      </w:r>
      <w:r>
        <w:rPr>
          <w:rStyle w:val="VerbatimChar"/>
        </w:rPr>
        <w:t xml:space="preserve">primary_industry</w:t>
      </w:r>
      <w:r>
        <w:t xml:space="preserve">, the event mix is reasonably spread across the competitor groups, with airlines/travel contributing 305 events, autos/EV 262, semiconductors/AI 251, banks/finance 215, and big tech/cloud 205, plus a smaller macro-market bucket. By</w:t>
      </w:r>
      <w:r>
        <w:t xml:space="preserve"> </w:t>
      </w:r>
      <w:r>
        <w:rPr>
          <w:rStyle w:val="VerbatimChar"/>
        </w:rPr>
        <w:t xml:space="preserve">event_type</w:t>
      </w:r>
      <w:r>
        <w:t xml:space="preserve">, however, the sample is weighted toward broader informational categories:</w:t>
      </w:r>
      <w:r>
        <w:t xml:space="preserve"> </w:t>
      </w:r>
      <w:r>
        <w:rPr>
          <w:rStyle w:val="VerbatimChar"/>
        </w:rPr>
        <w:t xml:space="preserve">market_roundup</w:t>
      </w:r>
      <w:r>
        <w:t xml:space="preserve"> </w:t>
      </w:r>
      <w:r>
        <w:t xml:space="preserve">contributes 402 events and</w:t>
      </w:r>
      <w:r>
        <w:t xml:space="preserve"> </w:t>
      </w:r>
      <w:r>
        <w:rPr>
          <w:rStyle w:val="VerbatimChar"/>
        </w:rPr>
        <w:t xml:space="preserve">macro_rates_tariffs_oil_geopolitics</w:t>
      </w:r>
      <w:r>
        <w:t xml:space="preserve"> </w:t>
      </w:r>
      <w:r>
        <w:t xml:space="preserve">235, while more specific corporate-event categories such as earnings/guidance, analyst ratings, product or technology, and legal-regulatory news are meaningful but smaller. Taken together, these counts suggest that spillover analysis in this dataset should be expected to reflect both firm-level and sector-level information channels rather than only classical firm-event reactions.</w:t>
      </w:r>
    </w:p>
    <w:p>
      <w:pPr>
        <w:pStyle w:val="BodyText"/>
      </w:pPr>
      <w:r>
        <w:t xml:space="preserve">Mean abnormal returns provide the first direct evidence on the contagion-versus-substitution question. The clearest descriptive pattern appears when the broad panel is grouped by</w:t>
      </w:r>
      <w:r>
        <w:t xml:space="preserve"> </w:t>
      </w:r>
      <w:r>
        <w:rPr>
          <w:rStyle w:val="VerbatimChar"/>
        </w:rPr>
        <w:t xml:space="preserve">expected_competitor_effect</w:t>
      </w:r>
      <w:r>
        <w:t xml:space="preserve">. As shown in</w:t>
      </w:r>
      <w:r>
        <w:t xml:space="preserve"> </w:t>
      </w:r>
      <w:r>
        <w:rPr>
          <w:rStyle w:val="VerbatimChar"/>
        </w:rPr>
        <w:t xml:space="preserve">outputs/tables/report_main_results.csv</w:t>
      </w:r>
      <w:r>
        <w:t xml:space="preserve"> </w:t>
      </w:r>
      <w:r>
        <w:t xml:space="preserve">and</w:t>
      </w:r>
      <w:r>
        <w:t xml:space="preserve"> </w:t>
      </w:r>
      <w:r>
        <w:rPr>
          <w:rStyle w:val="VerbatimChar"/>
        </w:rPr>
        <w:t xml:space="preserve">outputs/tables/mean_returns_by_label.csv</w:t>
      </w:r>
      <w:r>
        <w:t xml:space="preserve">,</w:t>
      </w:r>
      <w:r>
        <w:t xml:space="preserve"> </w:t>
      </w:r>
      <w:r>
        <w:rPr>
          <w:rStyle w:val="VerbatimChar"/>
        </w:rPr>
        <w:t xml:space="preserve">same_direction_contagion</w:t>
      </w:r>
      <w:r>
        <w:t xml:space="preserve"> </w:t>
      </w:r>
      <w:r>
        <w:t xml:space="preserve">is both the dominant label and a positive-return label: it covers 3,093 panel rows, has a mean next-day abnormal return of 0.0027, a mean CAR(0,1) of 0.0048, and a mean CAR(1,3) of 0.0057. This is economically modest in absolute size, but directionally meaningful for a short-run event-study outcome. Because the label is also common, the pattern is more credible than a large mean based on only a handful of observations. In other words, the broad descriptive evidence already points toward systematic short-run co-movement among competitors when the article is interpreted as carrying shared industry information.</w:t>
      </w:r>
    </w:p>
    <w:p>
      <w:pPr>
        <w:pStyle w:val="BodyText"/>
      </w:pPr>
      <w:r>
        <w:t xml:space="preserve">The competition-oriented categories are more difficult to interpret cleanly.</w:t>
      </w:r>
      <w:r>
        <w:t xml:space="preserve"> </w:t>
      </w:r>
      <w:r>
        <w:rPr>
          <w:rStyle w:val="VerbatimChar"/>
        </w:rPr>
        <w:t xml:space="preserve">opposite_direction_competition</w:t>
      </w:r>
      <w:r>
        <w:t xml:space="preserve"> </w:t>
      </w:r>
      <w:r>
        <w:t xml:space="preserve">has the highest broad-sample mean next-day abnormal return at 0.0072, with a CAR(0,1) of 0.0128 and a CAR(1,3) of 0.0081. On the surface, those are large positive average responses. The problem is that they are based on only 39 panel rows and 8 unique articles. That makes the estimate fragile. It may still indicate that some articles classified as competitive substitution are associated with meaningful rival-firm moves, but it is not strong enough on its own to establish a stable substitution mechanism.</w:t>
      </w:r>
      <w:r>
        <w:t xml:space="preserve"> </w:t>
      </w:r>
      <w:r>
        <w:rPr>
          <w:rStyle w:val="VerbatimChar"/>
        </w:rPr>
        <w:t xml:space="preserve">negative_for_competitors</w:t>
      </w:r>
      <w:r>
        <w:t xml:space="preserve"> </w:t>
      </w:r>
      <w:r>
        <w:t xml:space="preserve">is more directionally consistent with its label: it has the lowest broad-sample next-day mean at -0.0009, CAR(0,1) of -0.0006, and CAR(1,3) of -0.0047. Yet this category is also small at 113 rows.</w:t>
      </w:r>
      <w:r>
        <w:t xml:space="preserve"> </w:t>
      </w:r>
      <w:r>
        <w:rPr>
          <w:rStyle w:val="VerbatimChar"/>
        </w:rPr>
        <w:t xml:space="preserve">positive_for_competitors</w:t>
      </w:r>
      <w:r>
        <w:t xml:space="preserve"> </w:t>
      </w:r>
      <w:r>
        <w:t xml:space="preserve">is similarly sparse and does not show a strong positive next-day mean. The broad descriptive ranking therefore favors contagion not because competition-like labels never move returns, but because the co-movement category is both positive and common while the substitution-style categories are much thinner.</w:t>
      </w:r>
    </w:p>
    <w:p>
      <w:pPr>
        <w:pStyle w:val="BodyText"/>
      </w:pPr>
      <w:r>
        <w:t xml:space="preserve">Sorting by</w:t>
      </w:r>
      <w:r>
        <w:t xml:space="preserve"> </w:t>
      </w:r>
      <w:r>
        <w:rPr>
          <w:rStyle w:val="VerbatimChar"/>
        </w:rPr>
        <w:t xml:space="preserve">relevance_type</w:t>
      </w:r>
      <w:r>
        <w:t xml:space="preserve"> </w:t>
      </w:r>
      <w:r>
        <w:t xml:space="preserve">produces another useful result.</w:t>
      </w:r>
      <w:r>
        <w:t xml:space="preserve"> </w:t>
      </w:r>
      <w:r>
        <w:rPr>
          <w:rStyle w:val="VerbatimChar"/>
        </w:rPr>
        <w:t xml:space="preserve">industry_news</w:t>
      </w:r>
      <w:r>
        <w:t xml:space="preserve"> </w:t>
      </w:r>
      <w:r>
        <w:t xml:space="preserve">is the strongest category in the broad panel, with a mean next-day competitor abnormal return of 0.0066, CAR(0,1) of 0.0062, and CAR(1,3) of 0.0088. These are materially larger than the corresponding means for</w:t>
      </w:r>
      <w:r>
        <w:t xml:space="preserve"> </w:t>
      </w:r>
      <w:r>
        <w:rPr>
          <w:rStyle w:val="VerbatimChar"/>
        </w:rPr>
        <w:t xml:space="preserve">target_company_news</w:t>
      </w:r>
      <w:r>
        <w:t xml:space="preserve">,</w:t>
      </w:r>
      <w:r>
        <w:t xml:space="preserve"> </w:t>
      </w:r>
      <w:r>
        <w:rPr>
          <w:rStyle w:val="VerbatimChar"/>
        </w:rPr>
        <w:t xml:space="preserve">competitor_company_news</w:t>
      </w:r>
      <w:r>
        <w:t xml:space="preserve">, and</w:t>
      </w:r>
      <w:r>
        <w:t xml:space="preserve"> </w:t>
      </w:r>
      <w:r>
        <w:rPr>
          <w:rStyle w:val="VerbatimChar"/>
        </w:rPr>
        <w:t xml:space="preserve">macro_policy_news</w:t>
      </w:r>
      <w:r>
        <w:t xml:space="preserve">. This is an important finding for the paper’s theory. It suggests that when the article is explicitly classified as carrying industry-level information, competitor stocks tend to respond more strongly than when the article is primarily about a focal firm alone. By contrast,</w:t>
      </w:r>
      <w:r>
        <w:t xml:space="preserve"> </w:t>
      </w:r>
      <w:r>
        <w:rPr>
          <w:rStyle w:val="VerbatimChar"/>
        </w:rPr>
        <w:t xml:space="preserve">target_company_news</w:t>
      </w:r>
      <w:r>
        <w:t xml:space="preserve"> </w:t>
      </w:r>
      <w:r>
        <w:t xml:space="preserve">has a next-day mean of only 0.0007, and</w:t>
      </w:r>
      <w:r>
        <w:t xml:space="preserve"> </w:t>
      </w:r>
      <w:r>
        <w:rPr>
          <w:rStyle w:val="VerbatimChar"/>
        </w:rPr>
        <w:t xml:space="preserve">competitor_company_news</w:t>
      </w:r>
      <w:r>
        <w:t xml:space="preserve"> </w:t>
      </w:r>
      <w:r>
        <w:t xml:space="preserve">is essentially flat on the next day.</w:t>
      </w:r>
      <w:r>
        <w:t xml:space="preserve"> </w:t>
      </w:r>
      <w:r>
        <w:rPr>
          <w:rStyle w:val="VerbatimChar"/>
        </w:rPr>
        <w:t xml:space="preserve">market_roundup_but_relevant</w:t>
      </w:r>
      <w:r>
        <w:t xml:space="preserve"> </w:t>
      </w:r>
      <w:r>
        <w:t xml:space="preserve">is still positive on average, especially in CAR(0,1), but its interpretation is less clean because it includes broad commentary that is economically relevant while remaining less tightly linked to a discrete firm-level catalyst.</w:t>
      </w:r>
    </w:p>
    <w:p>
      <w:pPr>
        <w:pStyle w:val="BodyText"/>
      </w:pPr>
      <w:r>
        <w:t xml:space="preserve">Descriptive patterns sorted by</w:t>
      </w:r>
      <w:r>
        <w:t xml:space="preserve"> </w:t>
      </w:r>
      <w:r>
        <w:rPr>
          <w:rStyle w:val="VerbatimChar"/>
        </w:rPr>
        <w:t xml:space="preserve">target_company_sentiment</w:t>
      </w:r>
      <w:r>
        <w:t xml:space="preserve"> </w:t>
      </w:r>
      <w:r>
        <w:t xml:space="preserve">and</w:t>
      </w:r>
      <w:r>
        <w:t xml:space="preserve"> </w:t>
      </w:r>
      <w:r>
        <w:rPr>
          <w:rStyle w:val="VerbatimChar"/>
        </w:rPr>
        <w:t xml:space="preserve">primary_industry</w:t>
      </w:r>
      <w:r>
        <w:t xml:space="preserve"> </w:t>
      </w:r>
      <w:r>
        <w:t xml:space="preserve">are more mixed and should be treated as secondary. Across sentiment categories, next-day competitor abnormal returns remain modestly positive for negative, neutral, positive, and mixed source-news sentiment, with no strong monotonic ordering. That is useful because it suggests competitor spillovers are not captured well by simple positive-versus-negative sentiment alone. The article’s scope and implied competitor logic appear more informative than the source firm’s directional tone. Across industries, airlines/travel and autos/EV events show somewhat stronger broad-sample next-day means than banks/finance or the macro-market bucket, while banks/finance is close to zero and the macro-market bucket is slightly negative on the next day. These differences may reflect underlying industry composition, but they are not the main empirical story.</w:t>
      </w:r>
    </w:p>
    <w:p>
      <w:pPr>
        <w:pStyle w:val="BodyText"/>
      </w:pPr>
      <w:r>
        <w:t xml:space="preserve">The regression analysis sharpens these descriptive patterns. The main broad-sample regression table in</w:t>
      </w:r>
      <w:r>
        <w:t xml:space="preserve"> </w:t>
      </w:r>
      <w:r>
        <w:rPr>
          <w:rStyle w:val="VerbatimChar"/>
        </w:rPr>
        <w:t xml:space="preserve">outputs/tables/regression_results_main.csv</w:t>
      </w:r>
      <w:r>
        <w:t xml:space="preserve"> </w:t>
      </w:r>
      <w:r>
        <w:t xml:space="preserve">highlights two results. First,</w:t>
      </w:r>
      <w:r>
        <w:t xml:space="preserve"> </w:t>
      </w:r>
      <w:r>
        <w:rPr>
          <w:rStyle w:val="VerbatimChar"/>
        </w:rPr>
        <w:t xml:space="preserve">industry_news</w:t>
      </w:r>
      <w:r>
        <w:t xml:space="preserve"> </w:t>
      </w:r>
      <w:r>
        <w:t xml:space="preserve">is positively and statistically significantly associated with next-day competitor abnormal returns. In the broad</w:t>
      </w:r>
      <w:r>
        <w:t xml:space="preserve"> </w:t>
      </w:r>
      <w:r>
        <w:rPr>
          <w:rStyle w:val="VerbatimChar"/>
        </w:rPr>
        <w:t xml:space="preserve">competitor_abret_spy_t1</w:t>
      </w:r>
      <w:r>
        <w:t xml:space="preserve"> </w:t>
      </w:r>
      <w:r>
        <w:t xml:space="preserve">regression that includes</w:t>
      </w:r>
      <w:r>
        <w:t xml:space="preserve"> </w:t>
      </w:r>
      <w:r>
        <w:rPr>
          <w:rStyle w:val="VerbatimChar"/>
        </w:rPr>
        <w:t xml:space="preserve">relevance_type</w:t>
      </w:r>
      <w:r>
        <w:t xml:space="preserve"> </w:t>
      </w:r>
      <w:r>
        <w:t xml:space="preserve">and</w:t>
      </w:r>
      <w:r>
        <w:t xml:space="preserve"> </w:t>
      </w:r>
      <w:r>
        <w:rPr>
          <w:rStyle w:val="VerbatimChar"/>
        </w:rPr>
        <w:t xml:space="preserve">primary_industry</w:t>
      </w:r>
      <w:r>
        <w:t xml:space="preserve">, the coefficient on</w:t>
      </w:r>
      <w:r>
        <w:t xml:space="preserve"> </w:t>
      </w:r>
      <w:r>
        <w:rPr>
          <w:rStyle w:val="VerbatimChar"/>
        </w:rPr>
        <w:t xml:space="preserve">industry_news</w:t>
      </w:r>
      <w:r>
        <w:t xml:space="preserve"> </w:t>
      </w:r>
      <w:r>
        <w:t xml:space="preserve">is 0.0062 with a p-value of 0.0036. This aligns closely with the large descriptive mean for that category and suggests that articles classified as industry news are associated with stronger competitor reactions even after conditioning on industry buckets. Second,</w:t>
      </w:r>
      <w:r>
        <w:t xml:space="preserve"> </w:t>
      </w:r>
      <w:r>
        <w:rPr>
          <w:rStyle w:val="VerbatimChar"/>
        </w:rPr>
        <w:t xml:space="preserve">same_direction_contagion</w:t>
      </w:r>
      <w:r>
        <w:t xml:space="preserve"> </w:t>
      </w:r>
      <w:r>
        <w:t xml:space="preserve">is positive in the broader cumulative window. In the broad CAR(1,3) regression, the coefficient on</w:t>
      </w:r>
      <w:r>
        <w:t xml:space="preserve"> </w:t>
      </w:r>
      <w:r>
        <w:rPr>
          <w:rStyle w:val="VerbatimChar"/>
        </w:rPr>
        <w:t xml:space="preserve">same_direction_contagion</w:t>
      </w:r>
      <w:r>
        <w:t xml:space="preserve"> </w:t>
      </w:r>
      <w:r>
        <w:t xml:space="preserve">is 0.0113 with a p-value of 0.0381. That result is consistent with a spillover process that is not always fully absorbed in one trading day but remains directionally positive over the next several sessions.</w:t>
      </w:r>
    </w:p>
    <w:p>
      <w:pPr>
        <w:pStyle w:val="BodyText"/>
      </w:pPr>
      <w:r>
        <w:t xml:space="preserve">At the same time, the broad regressions also illustrate why the competition/substitution story is weaker. The coefficient on</w:t>
      </w:r>
      <w:r>
        <w:t xml:space="preserve"> </w:t>
      </w:r>
      <w:r>
        <w:rPr>
          <w:rStyle w:val="VerbatimChar"/>
        </w:rPr>
        <w:t xml:space="preserve">opposite_direction_competition</w:t>
      </w:r>
      <w:r>
        <w:t xml:space="preserve"> </w:t>
      </w:r>
      <w:r>
        <w:t xml:space="preserve">in the broad next-day regression is positive, around 0.0081, but statistically imprecise with a p-value of 0.3553. The broad next-day coefficient on</w:t>
      </w:r>
      <w:r>
        <w:t xml:space="preserve"> </w:t>
      </w:r>
      <w:r>
        <w:rPr>
          <w:rStyle w:val="VerbatimChar"/>
        </w:rPr>
        <w:t xml:space="preserve">same_direction_contagion</w:t>
      </w:r>
      <w:r>
        <w:t xml:space="preserve"> </w:t>
      </w:r>
      <w:r>
        <w:t xml:space="preserve">is also positive but not significant at conventional levels. This combination is not contradictory. Rather, it reflects a familiar event-study problem: short-run stock-return data are noisy, and some theoretically meaningful categories are either sparse or only moderately distinct in one-day returns. The fact that</w:t>
      </w:r>
      <w:r>
        <w:t xml:space="preserve"> </w:t>
      </w:r>
      <w:r>
        <w:rPr>
          <w:rStyle w:val="VerbatimChar"/>
        </w:rPr>
        <w:t xml:space="preserve">same_direction_contagion</w:t>
      </w:r>
      <w:r>
        <w:t xml:space="preserve"> </w:t>
      </w:r>
      <w:r>
        <w:t xml:space="preserve">becomes more clearly visible in the longer CAR(1,3) window is therefore substantively informative. It suggests that sector-level spillover interpretation is present, but not always captured cleanly by a single next-day coefficient in the broadest specification.</w:t>
      </w:r>
    </w:p>
    <w:p>
      <w:pPr>
        <w:pStyle w:val="BodyText"/>
      </w:pPr>
      <w:r>
        <w:t xml:space="preserve">The strict sample is the most important robustness check because it removes</w:t>
      </w:r>
      <w:r>
        <w:t xml:space="preserve"> </w:t>
      </w:r>
      <w:r>
        <w:rPr>
          <w:rStyle w:val="VerbatimChar"/>
        </w:rPr>
        <w:t xml:space="preserve">market_roundup_but_relevant</w:t>
      </w:r>
      <w:r>
        <w:t xml:space="preserve"> </w:t>
      </w:r>
      <w:r>
        <w:t xml:space="preserve">articles, which are relevant but relatively generic. If the main results were driven primarily by broad market recaps, then they should weaken materially once those rows are excluded. The evidence does not support that concern. In the strict sample,</w:t>
      </w:r>
      <w:r>
        <w:t xml:space="preserve"> </w:t>
      </w:r>
      <w:r>
        <w:rPr>
          <w:rStyle w:val="VerbatimChar"/>
        </w:rPr>
        <w:t xml:space="preserve">industry_news</w:t>
      </w:r>
      <w:r>
        <w:t xml:space="preserve"> </w:t>
      </w:r>
      <w:r>
        <w:t xml:space="preserve">remains strongly positive in the next-day regression, with a coefficient of 0.0062 and a p-value of 0.0031. That is almost unchanged from the broad sample and is one of the cleanest results in the paper. Likewise,</w:t>
      </w:r>
      <w:r>
        <w:t xml:space="preserve"> </w:t>
      </w:r>
      <w:r>
        <w:rPr>
          <w:rStyle w:val="VerbatimChar"/>
        </w:rPr>
        <w:t xml:space="preserve">same_direction_contagion</w:t>
      </w:r>
      <w:r>
        <w:t xml:space="preserve"> </w:t>
      </w:r>
      <w:r>
        <w:t xml:space="preserve">remains positive in the strict sample. Its next-day coefficient rises to 0.0056 and is marginally significant at p = 0.0512. More importantly, its CAR(1,3) coefficient rises to 0.0149 with a p-value of 0.0125. This is one of the strongest regression findings in the report and supports the view that same-direction spillovers are most visible once weaker, more generic market-roundup events are stripped out.</w:t>
      </w:r>
    </w:p>
    <w:p>
      <w:pPr>
        <w:pStyle w:val="BodyText"/>
      </w:pPr>
      <w:r>
        <w:t xml:space="preserve">The strict-sample descriptive means tell the same story.</w:t>
      </w:r>
      <w:r>
        <w:t xml:space="preserve"> </w:t>
      </w:r>
      <w:r>
        <w:rPr>
          <w:rStyle w:val="VerbatimChar"/>
        </w:rPr>
        <w:t xml:space="preserve">same_direction_contagion</w:t>
      </w:r>
      <w:r>
        <w:t xml:space="preserve"> </w:t>
      </w:r>
      <w:r>
        <w:t xml:space="preserve">remains positive across all three main outcomes, with a strict-sample next-day mean of 0.0028 and CAR(1,3) mean of 0.0057.</w:t>
      </w:r>
      <w:r>
        <w:t xml:space="preserve"> </w:t>
      </w:r>
      <w:r>
        <w:rPr>
          <w:rStyle w:val="VerbatimChar"/>
        </w:rPr>
        <w:t xml:space="preserve">industry_news</w:t>
      </w:r>
      <w:r>
        <w:t xml:space="preserve"> </w:t>
      </w:r>
      <w:r>
        <w:t xml:space="preserve">remains the strongest relevance category on the next day, with a strict-sample mean of 0.0066, while competition-style categories remain either sparse or unstable.</w:t>
      </w:r>
      <w:r>
        <w:t xml:space="preserve"> </w:t>
      </w:r>
      <w:r>
        <w:rPr>
          <w:rStyle w:val="VerbatimChar"/>
        </w:rPr>
        <w:t xml:space="preserve">opposite_direction_competition</w:t>
      </w:r>
      <w:r>
        <w:t xml:space="preserve"> </w:t>
      </w:r>
      <w:r>
        <w:t xml:space="preserve">is still positive in the strict sample at 0.0045 next day, but only 27 nonmissing next-day rows remain.</w:t>
      </w:r>
      <w:r>
        <w:t xml:space="preserve"> </w:t>
      </w:r>
      <w:r>
        <w:rPr>
          <w:rStyle w:val="VerbatimChar"/>
        </w:rPr>
        <w:t xml:space="preserve">negative_for_competitors</w:t>
      </w:r>
      <w:r>
        <w:t xml:space="preserve"> </w:t>
      </w:r>
      <w:r>
        <w:t xml:space="preserve">becomes more clearly negative in the strict sample, with a mean next-day abnormal return of -0.0027 and CAR(1,3) of -0.0080, which is directionally sensible but still based on a limited subset of observations. These results strengthen the interpretation that the main empirical message is not an artifact of generic market commentary.</w:t>
      </w:r>
    </w:p>
    <w:p>
      <w:pPr>
        <w:pStyle w:val="BodyText"/>
      </w:pPr>
      <w:r>
        <w:t xml:space="preserve">Some secondary regression coefficients are also worth noting briefly. In the broad sample, the bank/finance industry coefficient in the</w:t>
      </w:r>
      <w:r>
        <w:t xml:space="preserve"> </w:t>
      </w:r>
      <w:r>
        <w:rPr>
          <w:rStyle w:val="VerbatimChar"/>
        </w:rPr>
        <w:t xml:space="preserve">relevance_type + primary_industry</w:t>
      </w:r>
      <w:r>
        <w:t xml:space="preserve"> </w:t>
      </w:r>
      <w:r>
        <w:t xml:space="preserve">next-day regression is negative at -0.0036 with a p-value of about 0.072. In the strict sample, bank/finance and macro-market coefficients remain negative but not conventionally significant. These signs are consistent with the idea that some finance- or macro-heavy event categories may produce weaker or more ambiguous competitor reactions than cleaner sector spillover stories. However, they are not the central result and should not be overinterpreted in an exploratory design with modest sample sizes in several subgroups.</w:t>
      </w:r>
    </w:p>
    <w:p>
      <w:pPr>
        <w:pStyle w:val="BodyText"/>
      </w:pPr>
      <w:r>
        <w:t xml:space="preserve">Taken together, the empirical evidence is more consistent with short-run industry contagion than with pure competitive substitution. Competitor firms tend to react positively when news is classified as industry-wide or as likely to produce same-direction spillovers. This pattern appears descriptively in the dominance and positive mean returns of</w:t>
      </w:r>
      <w:r>
        <w:t xml:space="preserve"> </w:t>
      </w:r>
      <w:r>
        <w:rPr>
          <w:rStyle w:val="VerbatimChar"/>
        </w:rPr>
        <w:t xml:space="preserve">same_direction_contagion</w:t>
      </w:r>
      <w:r>
        <w:t xml:space="preserve">, and it appears econometrically in the positive and statistically significant</w:t>
      </w:r>
      <w:r>
        <w:t xml:space="preserve"> </w:t>
      </w:r>
      <w:r>
        <w:rPr>
          <w:rStyle w:val="VerbatimChar"/>
        </w:rPr>
        <w:t xml:space="preserve">industry_news</w:t>
      </w:r>
      <w:r>
        <w:t xml:space="preserve"> </w:t>
      </w:r>
      <w:r>
        <w:t xml:space="preserve">coefficients and the stronger strict-sample CAR results for</w:t>
      </w:r>
      <w:r>
        <w:t xml:space="preserve"> </w:t>
      </w:r>
      <w:r>
        <w:rPr>
          <w:rStyle w:val="VerbatimChar"/>
        </w:rPr>
        <w:t xml:space="preserve">same_direction_contagion</w:t>
      </w:r>
      <w:r>
        <w:t xml:space="preserve">. By contrast, the substitution-oriented categories show some suggestive positive or negative means, but they are much less frequent and less stable statistically. The results therefore suggest that financial news about one firm often contains information about broader sector conditions, investor sentiment, or common demand and cost shocks, rather than only firm-specific competitive advantage. That conclusion should still be read carefully: the estimated return effects are economically small, the design is exploratory, and the evidence is best understood as consistent with contagion rather than as proof of a single causal mechanism.</w:t>
      </w:r>
    </w:p>
    <w:bookmarkEnd w:id="14"/>
    <w:bookmarkStart w:id="15" w:name="discussion-limitations-conclusion"/>
    <w:p>
      <w:pPr>
        <w:pStyle w:val="Heading2"/>
      </w:pPr>
      <w:r>
        <w:t xml:space="preserve">6. Discussion, Limitations &amp; Conclusion</w:t>
      </w:r>
    </w:p>
    <w:p>
      <w:pPr>
        <w:pStyle w:val="FirstParagraph"/>
      </w:pPr>
      <w:r>
        <w:t xml:space="preserve">The results in Section 5 point to a clear overall interpretation. The findings are more consistent with short-run industry contagion than with clean competitive substitution. Competitor firms tend to react positively when the underlying article is classified as industry-wide or as likely to generate same-direction spillovers. This appears both in the descriptive results, where</w:t>
      </w:r>
      <w:r>
        <w:t xml:space="preserve"> </w:t>
      </w:r>
      <w:r>
        <w:rPr>
          <w:rStyle w:val="VerbatimChar"/>
        </w:rPr>
        <w:t xml:space="preserve">same_direction_contagion</w:t>
      </w:r>
      <w:r>
        <w:t xml:space="preserve"> </w:t>
      </w:r>
      <w:r>
        <w:t xml:space="preserve">is the dominant positive-return category, and in the regressions, where</w:t>
      </w:r>
      <w:r>
        <w:t xml:space="preserve"> </w:t>
      </w:r>
      <w:r>
        <w:rPr>
          <w:rStyle w:val="VerbatimChar"/>
        </w:rPr>
        <w:t xml:space="preserve">industry_news</w:t>
      </w:r>
      <w:r>
        <w:t xml:space="preserve"> </w:t>
      </w:r>
      <w:r>
        <w:t xml:space="preserve">is positively associated with next-day competitor abnormal returns and</w:t>
      </w:r>
      <w:r>
        <w:t xml:space="preserve"> </w:t>
      </w:r>
      <w:r>
        <w:rPr>
          <w:rStyle w:val="VerbatimChar"/>
        </w:rPr>
        <w:t xml:space="preserve">same_direction_contagion</w:t>
      </w:r>
      <w:r>
        <w:t xml:space="preserve"> </w:t>
      </w:r>
      <w:r>
        <w:t xml:space="preserve">is most visible in cumulative return windows, especially in the strict sample. Taken together, the evidence suggests that news about one public company often conveys information that investors interpret as relevant for an entire competitive set rather than only for the focal firm named in the article.</w:t>
      </w:r>
    </w:p>
    <w:p>
      <w:pPr>
        <w:pStyle w:val="BodyText"/>
      </w:pPr>
      <w:r>
        <w:t xml:space="preserve">This interpretation is economically intuitive. Corporate news is not always purely firm specific. Earnings releases can reveal demand conditions, product announcements can signal technology adoption, and regulatory or supply-chain developments can affect an entire sector’s cost structure or risk environment. When competitors move in the same direction, the market may be reacting less to a winner-loser story and more to a shared update about common demand, technology trends, regulation, financing conditions, or sector sentiment. The evidence in this report is consistent with that broader interpretation of how news diffuses across rival firms in equity markets.</w:t>
      </w:r>
    </w:p>
    <w:p>
      <w:pPr>
        <w:pStyle w:val="BodyText"/>
      </w:pPr>
      <w:r>
        <w:t xml:space="preserve">The positive</w:t>
      </w:r>
      <w:r>
        <w:t xml:space="preserve"> </w:t>
      </w:r>
      <w:r>
        <w:rPr>
          <w:rStyle w:val="VerbatimChar"/>
        </w:rPr>
        <w:t xml:space="preserve">industry_news</w:t>
      </w:r>
      <w:r>
        <w:t xml:space="preserve"> </w:t>
      </w:r>
      <w:r>
        <w:t xml:space="preserve">result is especially informative in this respect. In the broad sample,</w:t>
      </w:r>
      <w:r>
        <w:t xml:space="preserve"> </w:t>
      </w:r>
      <w:r>
        <w:rPr>
          <w:rStyle w:val="VerbatimChar"/>
        </w:rPr>
        <w:t xml:space="preserve">industry_news</w:t>
      </w:r>
      <w:r>
        <w:t xml:space="preserve"> </w:t>
      </w:r>
      <w:r>
        <w:t xml:space="preserve">articles have the strongest average next-day competitor abnormal return among the main relevance categories, and the corresponding regression coefficient remains positive and statistically significant in both broad and strict specifications. If firm news contains industry-level information, then competitor returns should respond most clearly when the article is explicitly interpreted as sector relevant. The results indicate exactly that pattern.</w:t>
      </w:r>
    </w:p>
    <w:p>
      <w:pPr>
        <w:pStyle w:val="BodyText"/>
      </w:pPr>
      <w:r>
        <w:t xml:space="preserve">The evidence for same-direction spillovers also becomes stronger once weaker market-roundup articles are removed. In the strict sample, which excludes</w:t>
      </w:r>
      <w:r>
        <w:t xml:space="preserve"> </w:t>
      </w:r>
      <w:r>
        <w:rPr>
          <w:rStyle w:val="VerbatimChar"/>
        </w:rPr>
        <w:t xml:space="preserve">market_roundup_but_relevant</w:t>
      </w:r>
      <w:r>
        <w:t xml:space="preserve">, the coefficient on</w:t>
      </w:r>
      <w:r>
        <w:t xml:space="preserve"> </w:t>
      </w:r>
      <w:r>
        <w:rPr>
          <w:rStyle w:val="VerbatimChar"/>
        </w:rPr>
        <w:t xml:space="preserve">same_direction_contagion</w:t>
      </w:r>
      <w:r>
        <w:t xml:space="preserve"> </w:t>
      </w:r>
      <w:r>
        <w:t xml:space="preserve">becomes larger for next-day abnormal returns and is clearly positive in the</w:t>
      </w:r>
      <w:r>
        <w:t xml:space="preserve"> </w:t>
      </w:r>
      <w:r>
        <w:rPr>
          <w:rStyle w:val="VerbatimChar"/>
        </w:rPr>
        <w:t xml:space="preserve">CAR(1,3)</w:t>
      </w:r>
      <w:r>
        <w:t xml:space="preserve"> </w:t>
      </w:r>
      <w:r>
        <w:t xml:space="preserve">specification. This suggests that the core contagion signal is not merely being generated by generic market commentary. Instead, it remains visible when attention is restricted to cleaner and more specific events.</w:t>
      </w:r>
    </w:p>
    <w:p>
      <w:pPr>
        <w:pStyle w:val="BodyText"/>
      </w:pPr>
      <w:r>
        <w:t xml:space="preserve">At the same time, the project does not find equally strong evidence for competitive substitution. That mechanism remains theoretically plausible. Some news events should, in principle, redistribute expected profits across close rivals. A firm-specific product success, market-share gain, contract win, or regulatory setback could benefit competitors in the opposite direction. The problem is that this channel is harder to detect cleanly in the realized sample. One reason is frequency: opposite-direction categories are much less common than same-direction contagion categories. Another is article content. Many financial news items mix firm, sector, and market information in the same text, which makes pure substitution events less common than theory might suggest. A third reason is measurement. Broad market movement and sector sentiment can dilute or dominate a narrower winner-loser effect, especially when only daily timestamps are available. Finally, the competition-oriented labels in this dataset are estimated from relatively small numbers of events, which makes their coefficients and mean returns less stable.</w:t>
      </w:r>
    </w:p>
    <w:p>
      <w:pPr>
        <w:pStyle w:val="BodyText"/>
      </w:pPr>
      <w:r>
        <w:t xml:space="preserve">This is why the positive mean return for</w:t>
      </w:r>
      <w:r>
        <w:t xml:space="preserve"> </w:t>
      </w:r>
      <w:r>
        <w:rPr>
          <w:rStyle w:val="VerbatimChar"/>
        </w:rPr>
        <w:t xml:space="preserve">opposite_direction_competition</w:t>
      </w:r>
      <w:r>
        <w:t xml:space="preserve"> </w:t>
      </w:r>
      <w:r>
        <w:t xml:space="preserve">should be read cautiously rather than dramatically. It shows that articles classified in this way can coincide with substantial competitor moves, but the sample is small and the regression estimates are imprecise. Likewise, the negative-return category for competitors is directionally sensible, especially in the stricter samples, but again relatively sparse. The appropriate conclusion is therefore not that competition effects are absent. Rather, the evidence suggests that they are harder to identify cleanly in this structured sample than contagion effects, both because they are less frequent and because broader information channels often overlap with firm-specific rivalry.</w:t>
      </w:r>
    </w:p>
    <w:p>
      <w:pPr>
        <w:pStyle w:val="BodyText"/>
      </w:pPr>
      <w:r>
        <w:t xml:space="preserve">Beyond the substantive findings, the project also makes a methodological contribution. It combines LLM-based news classification with an event-study design focused on spillovers across competitors rather than only price reactions in the firm directly mentioned by the article. That combination is useful because much of the relevant financial information is embedded in unstructured text. The pipeline developed here converts article text into structured variables for relevance, event type, sentiment, news scope, expected competitor effect, materiality, and confidence, then merges those labels with stock-return data in a reproducible event panel. In that sense, the project shows a practical way to move from raw financial news to testable spillover hypotheses. The contribution is not that the LLM replaces economic reasoning. It is that the model can be used to scale and standardize the difficult intermediate step between unstructured language and empirical finance variables.</w:t>
      </w:r>
    </w:p>
    <w:p>
      <w:pPr>
        <w:pStyle w:val="BodyText"/>
      </w:pPr>
      <w:r>
        <w:t xml:space="preserve">The project also contributes by making the spillover question operational. Much prior finance work naturally centers on the focal firm, because that is the company directly named in an event. Here, the emphasis is instead on how news transmits across a competitor network. By structuring the panel at the</w:t>
      </w:r>
      <w:r>
        <w:t xml:space="preserve"> </w:t>
      </w:r>
      <w:r>
        <w:rPr>
          <w:rStyle w:val="VerbatimChar"/>
        </w:rPr>
        <w:t xml:space="preserve">article_id x source_ticker x competitor_ticker</w:t>
      </w:r>
      <w:r>
        <w:t xml:space="preserve"> </w:t>
      </w:r>
      <w:r>
        <w:t xml:space="preserve">level, the analysis is able to ask that cross-firm question directly.</w:t>
      </w:r>
    </w:p>
    <w:p>
      <w:pPr>
        <w:pStyle w:val="BodyText"/>
      </w:pPr>
      <w:r>
        <w:t xml:space="preserve">Several limitations should be stated clearly. First, the LLM-classified dataset is a structured sample, not the full universe of collected articles. The broader news archive contains far more unique articles than the 1,250 classified sample, so the empirical results should not be interpreted as a full-population characterization of all corporate news in the source period. Second, publication time is not reliably available, so event timing is based on daily dates and next-trading-day returns rather than precise intraday reactions. That is a sensible design choice, but it inevitably weakens timing precision. Third, the LLM labels may contain noise and should be interpreted as research labels rather than as objective truth. Even with a fixed prompt and structured outputs, model judgments can be imperfect or debatable on borderline articles.</w:t>
      </w:r>
    </w:p>
    <w:p>
      <w:pPr>
        <w:pStyle w:val="BodyText"/>
      </w:pPr>
      <w:r>
        <w:t xml:space="preserve">Fourth, some articles remain mixed in scope even after classification. Market roundups, macro commentary, and multi-company stories can be relevant while still being less precise event signals than clean firm-specific announcements. This is exactly why the strict-sample robustness checks matter, but it also means event precision is imperfect even in the refined samples. Fifth, the competitor groups are predefined and limited to selected large public firms. That helps keep the project tractable and comparable across industries, but it also means the analysis abstracts from broader competitive ecosystems and from smaller or non-listed rivals. Sixth, the design is exploratory and does not fully establish causality. The event-study framework is useful for documenting short-run associations between structured news labels and abnormal returns, but it cannot fully rule out overlapping information arrivals, omitted firm controls, or residual confounding from broader market conditions.</w:t>
      </w:r>
    </w:p>
    <w:p>
      <w:pPr>
        <w:pStyle w:val="BodyText"/>
      </w:pPr>
      <w:r>
        <w:t xml:space="preserve">These limitations suggest several natural directions for future work. One would be to classify a much larger sample, or ideally the full universe of collected unique articles. Another would be to add intraday timestamps and intraday returns, permitting cleaner timing tests. Additional extensions include richer return benchmarks or factor models, comparison across multiple LLMs, manual validation of a subset of labels, and expansion to more industries and competitor groups.</w:t>
      </w:r>
    </w:p>
    <w:p>
      <w:pPr>
        <w:pStyle w:val="BodyText"/>
      </w:pPr>
      <w:r>
        <w:t xml:space="preserve">Overall, this study finds that LLM-classified corporate news spillovers are more consistent with short-run industry contagion than with pure competitive substitution. Competitor firms tend to react positively when news is classified as industry-wide or as likely to generate same-direction spillovers. This suggests that corporate news often transmits information about broader sector conditions rather than only firm-specific advantage. More generally, the project shows how LLMs can be used to structure financial news, generate economically meaningful labels, and test spillover hypotheses in equity markets through a reproducible event-study pipeline. The results should be interpreted carefully and as exploratory evidence, but they indicate that unstructured news and cross-firm stock reactions can be linked in a disciplined and informative way.</w:t>
      </w:r>
    </w:p>
    <w:bookmarkEnd w:id="15"/>
    <w:bookmarkStart w:id="16" w:name="references"/>
    <w:p>
      <w:pPr>
        <w:pStyle w:val="Heading2"/>
      </w:pPr>
      <w:r>
        <w:t xml:space="preserve">References</w:t>
      </w:r>
    </w:p>
    <w:p>
      <w:pPr>
        <w:pStyle w:val="FirstParagraph"/>
      </w:pPr>
      <w:r>
        <w:t xml:space="preserve">Brown, S. J., &amp; Warner, J. B. (1985). Using daily stock returns: The case of event studies.</w:t>
      </w:r>
      <w:r>
        <w:t xml:space="preserve"> </w:t>
      </w:r>
      <w:r>
        <w:rPr>
          <w:i/>
          <w:iCs/>
        </w:rPr>
        <w:t xml:space="preserve">Journal of Financial Economics, 14</w:t>
      </w:r>
      <w:r>
        <w:t xml:space="preserve">(1), 3-31.</w:t>
      </w:r>
    </w:p>
    <w:p>
      <w:pPr>
        <w:pStyle w:val="BodyText"/>
      </w:pPr>
      <w:r>
        <w:t xml:space="preserve">Fama, E. F., Fisher, L., Jensen, M. C., &amp; Roll, R. (1969). The adjustment of stock prices to new information.</w:t>
      </w:r>
      <w:r>
        <w:t xml:space="preserve"> </w:t>
      </w:r>
      <w:r>
        <w:rPr>
          <w:i/>
          <w:iCs/>
        </w:rPr>
        <w:t xml:space="preserve">International Economic Review, 10</w:t>
      </w:r>
      <w:r>
        <w:t xml:space="preserve">(1), 1-21.</w:t>
      </w:r>
    </w:p>
    <w:p>
      <w:pPr>
        <w:pStyle w:val="BodyText"/>
      </w:pPr>
      <w:r>
        <w:t xml:space="preserve">Loughran, T., &amp; McDonald, B. (2011). When is a liability not a liability? Textual analysis, dictionaries, and 10-Ks.</w:t>
      </w:r>
      <w:r>
        <w:t xml:space="preserve"> </w:t>
      </w:r>
      <w:r>
        <w:rPr>
          <w:i/>
          <w:iCs/>
        </w:rPr>
        <w:t xml:space="preserve">The Journal of Finance, 66</w:t>
      </w:r>
      <w:r>
        <w:t xml:space="preserve">(1), 35-65.</w:t>
      </w:r>
    </w:p>
    <w:p>
      <w:pPr>
        <w:pStyle w:val="BodyText"/>
      </w:pPr>
      <w:r>
        <w:t xml:space="preserve">MacKinlay, A. C. (1997). Event studies in economics and finance.</w:t>
      </w:r>
      <w:r>
        <w:t xml:space="preserve"> </w:t>
      </w:r>
      <w:r>
        <w:rPr>
          <w:i/>
          <w:iCs/>
        </w:rPr>
        <w:t xml:space="preserve">Journal of Economic Literature, 35</w:t>
      </w:r>
      <w:r>
        <w:t xml:space="preserve">(1), 13-39.</w:t>
      </w:r>
    </w:p>
    <w:p>
      <w:pPr>
        <w:pStyle w:val="BodyText"/>
      </w:pPr>
      <w:r>
        <w:t xml:space="preserve">Tetlock, P. C. (2007). Giving content to investor sentiment: The role of media in the stock market.</w:t>
      </w:r>
      <w:r>
        <w:t xml:space="preserve"> </w:t>
      </w:r>
      <w:r>
        <w:rPr>
          <w:i/>
          <w:iCs/>
        </w:rPr>
        <w:t xml:space="preserve">The Journal of Finance, 62</w:t>
      </w:r>
      <w:r>
        <w:t xml:space="preserve">(3), 1139-1168.</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2026-06-22T09:08:59Z</dcterms:created>
  <dcterms:modified xsi:type="dcterms:W3CDTF">2026-06-22T09:08:59Z</dcterms:modified>
</cp:coreProperties>
</file>

<file path=docProps/custom.xml><?xml version="1.0" encoding="utf-8"?>
<Properties xmlns="http://schemas.openxmlformats.org/officeDocument/2006/custom-properties" xmlns:vt="http://schemas.openxmlformats.org/officeDocument/2006/docPropsVTypes"/>
</file>