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Presentation Script and Speaker Outline</w:t>
      </w:r>
    </w:p>
    <w:p>
      <w:pPr>
        <w:jc w:val="center"/>
      </w:pPr>
      <w:r>
        <w:rPr>
          <w:rFonts w:ascii="Arial" w:hAnsi="Arial"/>
          <w:i/>
          <w:sz w:val="23"/>
        </w:rPr>
        <w:t>Contagion or Competition? An LLM-Based Event Study of Corporate News Spillovers</w:t>
      </w:r>
    </w:p>
    <w:p>
      <w:pPr>
        <w:jc w:val="center"/>
      </w:pPr>
      <w:r>
        <w:rPr>
          <w:rFonts w:ascii="Arial" w:hAnsi="Arial"/>
          <w:sz w:val="21"/>
        </w:rPr>
        <w:t>Target length: 15 minutes | Presenters: 3 | Format: slide-by-slide script</w:t>
      </w:r>
    </w:p>
    <w:p>
      <w:pPr>
        <w:pStyle w:val="Heading1"/>
      </w:pPr>
      <w:r>
        <w:rPr>
          <w:rFonts w:ascii="Arial" w:hAnsi="Arial"/>
        </w:rPr>
        <w:t>How to use this script</w:t>
      </w:r>
    </w:p>
    <w:p>
      <w:pPr>
        <w:pStyle w:val="ListBullet"/>
      </w:pPr>
      <w:r>
        <w:rPr>
          <w:rFonts w:ascii="Arial" w:hAnsi="Arial"/>
        </w:rPr>
        <w:t>The script is written to be spoken almost word for word, but presenters should sound natural rather than memorized.</w:t>
      </w:r>
    </w:p>
    <w:p>
      <w:pPr>
        <w:pStyle w:val="ListBullet"/>
      </w:pPr>
      <w:r>
        <w:rPr>
          <w:rFonts w:ascii="Arial" w:hAnsi="Arial"/>
        </w:rPr>
        <w:t>The non-technical presenters should focus on the big idea, the data flow, and the conclusion. They should not list every result.</w:t>
      </w:r>
    </w:p>
    <w:p>
      <w:pPr>
        <w:pStyle w:val="ListBullet"/>
      </w:pPr>
      <w:r>
        <w:rPr>
          <w:rFonts w:ascii="Arial" w:hAnsi="Arial"/>
        </w:rPr>
        <w:t>The technical presenter should handle the LLM classification and event-study method. This is where most questions are likely to come from.</w:t>
      </w:r>
    </w:p>
    <w:p>
      <w:pPr>
        <w:pStyle w:val="ListBullet"/>
      </w:pPr>
      <w:r>
        <w:rPr>
          <w:rFonts w:ascii="Arial" w:hAnsi="Arial"/>
        </w:rPr>
        <w:t>For numbers, say only the important ones on each slide. Avoid reading every label or every bar on the chart.</w:t>
      </w:r>
    </w:p>
    <w:p>
      <w:pPr>
        <w:pStyle w:val="Heading1"/>
      </w:pPr>
      <w:r>
        <w:rPr>
          <w:rFonts w:ascii="Arial" w:hAnsi="Arial"/>
        </w:rPr>
        <w:t>Suggested timing and speaker split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rFonts w:ascii="Arial" w:hAnsi="Arial"/>
              </w:rPr>
            </w:r>
            <w:r>
              <w:rPr>
                <w:rFonts w:ascii="Arial" w:hAnsi="Arial"/>
                <w:b/>
              </w:rPr>
              <w:t>Presenter</w:t>
            </w:r>
          </w:p>
        </w:tc>
        <w:tc>
          <w:tcPr>
            <w:tcW w:type="dxa" w:w="2592"/>
            <w:shd w:fill="D9EAF7"/>
          </w:tcPr>
          <w:p>
            <w:r>
              <w:rPr>
                <w:rFonts w:ascii="Arial" w:hAnsi="Arial"/>
              </w:rPr>
            </w:r>
            <w:r>
              <w:rPr>
                <w:rFonts w:ascii="Arial" w:hAnsi="Arial"/>
                <w:b/>
              </w:rPr>
              <w:t>Slides</w:t>
            </w:r>
          </w:p>
        </w:tc>
        <w:tc>
          <w:tcPr>
            <w:tcW w:type="dxa" w:w="2592"/>
            <w:shd w:fill="D9EAF7"/>
          </w:tcPr>
          <w:p>
            <w:r>
              <w:rPr>
                <w:rFonts w:ascii="Arial" w:hAnsi="Arial"/>
              </w:rPr>
            </w:r>
            <w:r>
              <w:rPr>
                <w:rFonts w:ascii="Arial" w:hAnsi="Arial"/>
                <w:b/>
              </w:rPr>
              <w:t>Role</w:t>
            </w:r>
          </w:p>
        </w:tc>
        <w:tc>
          <w:tcPr>
            <w:tcW w:type="dxa" w:w="2592"/>
            <w:shd w:fill="D9EAF7"/>
          </w:tcPr>
          <w:p>
            <w:r>
              <w:rPr>
                <w:rFonts w:ascii="Arial" w:hAnsi="Arial"/>
              </w:rPr>
            </w:r>
            <w:r>
              <w:rPr>
                <w:rFonts w:ascii="Arial" w:hAnsi="Arial"/>
                <w:b/>
              </w:rPr>
              <w:t>Target time</w:t>
            </w:r>
          </w:p>
        </w:tc>
      </w:tr>
      <w:tr>
        <w:tc>
          <w:tcPr>
            <w:tcW w:type="dxa" w:w="2592"/>
            <w:vAlign w:val="center"/>
          </w:tcPr>
          <w:p>
            <w:r>
              <w:rPr>
                <w:rFonts w:ascii="Arial" w:hAnsi="Arial"/>
              </w:rPr>
            </w:r>
            <w:r>
              <w:rPr>
                <w:rFonts w:ascii="Arial" w:hAnsi="Arial"/>
                <w:b w:val="0"/>
              </w:rPr>
              <w:t>Presenter 1</w:t>
            </w:r>
          </w:p>
        </w:tc>
        <w:tc>
          <w:tcPr>
            <w:tcW w:type="dxa" w:w="2592"/>
            <w:vAlign w:val="center"/>
          </w:tcPr>
          <w:p>
            <w:r>
              <w:rPr>
                <w:rFonts w:ascii="Arial" w:hAnsi="Arial"/>
              </w:rPr>
            </w:r>
            <w:r>
              <w:rPr>
                <w:rFonts w:ascii="Arial" w:hAnsi="Arial"/>
                <w:b w:val="0"/>
              </w:rPr>
              <w:t>Slides 1-4</w:t>
            </w:r>
          </w:p>
        </w:tc>
        <w:tc>
          <w:tcPr>
            <w:tcW w:type="dxa" w:w="2592"/>
            <w:vAlign w:val="center"/>
          </w:tcPr>
          <w:p>
            <w:r>
              <w:rPr>
                <w:rFonts w:ascii="Arial" w:hAnsi="Arial"/>
              </w:rPr>
            </w:r>
            <w:r>
              <w:rPr>
                <w:rFonts w:ascii="Arial" w:hAnsi="Arial"/>
                <w:b w:val="0"/>
              </w:rPr>
              <w:t>Opening, research question, dataset, competitor universe</w:t>
            </w:r>
          </w:p>
        </w:tc>
        <w:tc>
          <w:tcPr>
            <w:tcW w:type="dxa" w:w="2592"/>
            <w:vAlign w:val="center"/>
          </w:tcPr>
          <w:p>
            <w:r>
              <w:rPr>
                <w:rFonts w:ascii="Arial" w:hAnsi="Arial"/>
              </w:rPr>
            </w:r>
            <w:r>
              <w:rPr>
                <w:rFonts w:ascii="Arial" w:hAnsi="Arial"/>
                <w:b w:val="0"/>
              </w:rPr>
              <w:t>4:00-4:30</w:t>
            </w:r>
          </w:p>
        </w:tc>
      </w:tr>
      <w:tr>
        <w:tc>
          <w:tcPr>
            <w:tcW w:type="dxa" w:w="2592"/>
            <w:vAlign w:val="center"/>
          </w:tcPr>
          <w:p>
            <w:r>
              <w:rPr>
                <w:rFonts w:ascii="Arial" w:hAnsi="Arial"/>
              </w:rPr>
            </w:r>
            <w:r>
              <w:rPr>
                <w:rFonts w:ascii="Arial" w:hAnsi="Arial"/>
                <w:b w:val="0"/>
              </w:rPr>
              <w:t>Presenter 2</w:t>
            </w:r>
          </w:p>
        </w:tc>
        <w:tc>
          <w:tcPr>
            <w:tcW w:type="dxa" w:w="2592"/>
            <w:vAlign w:val="center"/>
          </w:tcPr>
          <w:p>
            <w:r>
              <w:rPr>
                <w:rFonts w:ascii="Arial" w:hAnsi="Arial"/>
              </w:rPr>
            </w:r>
            <w:r>
              <w:rPr>
                <w:rFonts w:ascii="Arial" w:hAnsi="Arial"/>
                <w:b w:val="0"/>
              </w:rPr>
              <w:t>Slides 5-8</w:t>
            </w:r>
          </w:p>
        </w:tc>
        <w:tc>
          <w:tcPr>
            <w:tcW w:type="dxa" w:w="2592"/>
            <w:vAlign w:val="center"/>
          </w:tcPr>
          <w:p>
            <w:r>
              <w:rPr>
                <w:rFonts w:ascii="Arial" w:hAnsi="Arial"/>
              </w:rPr>
            </w:r>
            <w:r>
              <w:rPr>
                <w:rFonts w:ascii="Arial" w:hAnsi="Arial"/>
                <w:b w:val="0"/>
              </w:rPr>
              <w:t>LLM classification and event-study method</w:t>
            </w:r>
          </w:p>
        </w:tc>
        <w:tc>
          <w:tcPr>
            <w:tcW w:type="dxa" w:w="2592"/>
            <w:vAlign w:val="center"/>
          </w:tcPr>
          <w:p>
            <w:r>
              <w:rPr>
                <w:rFonts w:ascii="Arial" w:hAnsi="Arial"/>
              </w:rPr>
            </w:r>
            <w:r>
              <w:rPr>
                <w:rFonts w:ascii="Arial" w:hAnsi="Arial"/>
                <w:b w:val="0"/>
              </w:rPr>
              <w:t>5:00-5:30</w:t>
            </w:r>
          </w:p>
        </w:tc>
      </w:tr>
      <w:tr>
        <w:tc>
          <w:tcPr>
            <w:tcW w:type="dxa" w:w="2592"/>
            <w:vAlign w:val="center"/>
          </w:tcPr>
          <w:p>
            <w:r>
              <w:rPr>
                <w:rFonts w:ascii="Arial" w:hAnsi="Arial"/>
              </w:rPr>
            </w:r>
            <w:r>
              <w:rPr>
                <w:rFonts w:ascii="Arial" w:hAnsi="Arial"/>
                <w:b w:val="0"/>
              </w:rPr>
              <w:t>Presenter 3</w:t>
            </w:r>
          </w:p>
        </w:tc>
        <w:tc>
          <w:tcPr>
            <w:tcW w:type="dxa" w:w="2592"/>
            <w:vAlign w:val="center"/>
          </w:tcPr>
          <w:p>
            <w:r>
              <w:rPr>
                <w:rFonts w:ascii="Arial" w:hAnsi="Arial"/>
              </w:rPr>
            </w:r>
            <w:r>
              <w:rPr>
                <w:rFonts w:ascii="Arial" w:hAnsi="Arial"/>
                <w:b w:val="0"/>
              </w:rPr>
              <w:t>Slides 9-12</w:t>
            </w:r>
          </w:p>
        </w:tc>
        <w:tc>
          <w:tcPr>
            <w:tcW w:type="dxa" w:w="2592"/>
            <w:vAlign w:val="center"/>
          </w:tcPr>
          <w:p>
            <w:r>
              <w:rPr>
                <w:rFonts w:ascii="Arial" w:hAnsi="Arial"/>
              </w:rPr>
            </w:r>
            <w:r>
              <w:rPr>
                <w:rFonts w:ascii="Arial" w:hAnsi="Arial"/>
                <w:b w:val="0"/>
              </w:rPr>
              <w:t>Key results, interpretation, conclusion</w:t>
            </w:r>
          </w:p>
        </w:tc>
        <w:tc>
          <w:tcPr>
            <w:tcW w:type="dxa" w:w="2592"/>
            <w:vAlign w:val="center"/>
          </w:tcPr>
          <w:p>
            <w:r>
              <w:rPr>
                <w:rFonts w:ascii="Arial" w:hAnsi="Arial"/>
              </w:rPr>
            </w:r>
            <w:r>
              <w:rPr>
                <w:rFonts w:ascii="Arial" w:hAnsi="Arial"/>
                <w:b w:val="0"/>
              </w:rPr>
              <w:t>5:00-5:30</w:t>
            </w:r>
          </w:p>
        </w:tc>
      </w:tr>
    </w:tbl>
    <w:p>
      <w:r>
        <w:rPr>
          <w:rFonts w:ascii="Arial" w:hAnsi="Arial"/>
        </w:rPr>
        <w:t>Target speaking speed: around 125-135 words per minute. The script below is intentionally concise so there is room for transitions and small delays.</w:t>
      </w:r>
    </w:p>
    <w:p>
      <w:pPr>
        <w:pStyle w:val="Heading1"/>
      </w:pPr>
      <w:r>
        <w:rPr>
          <w:rFonts w:ascii="Arial" w:hAnsi="Arial"/>
        </w:rPr>
        <w:t>Slide-by-slide script</w:t>
      </w:r>
    </w:p>
    <w:p>
      <w:pPr>
        <w:pStyle w:val="Heading2"/>
      </w:pPr>
      <w:r>
        <w:rPr>
          <w:rFonts w:ascii="Arial" w:hAnsi="Arial"/>
        </w:rPr>
        <w:t>Slide 1 - Title (Presenter 1, 0:00-1:10)</w:t>
      </w:r>
    </w:p>
    <w:p>
      <w:r>
        <w:rPr>
          <w:rFonts w:ascii="Arial" w:hAnsi="Arial"/>
          <w:b/>
        </w:rPr>
        <w:t xml:space="preserve">Core point: </w:t>
      </w:r>
      <w:r>
        <w:rPr>
          <w:rFonts w:ascii="Arial" w:hAnsi="Arial"/>
        </w:rPr>
        <w:t>Frame the project in one sentence: we test whether news about one firm moves its competitors, and whether the movement is contagion or competition.</w:t>
      </w:r>
    </w:p>
    <w:p>
      <w:r>
        <w:rPr>
          <w:rFonts w:ascii="Arial" w:hAnsi="Arial"/>
          <w:b/>
        </w:rPr>
        <w:t>Say:</w:t>
      </w:r>
    </w:p>
    <w:p>
      <w:pPr>
        <w:spacing w:after="120"/>
        <w:ind w:left="360" w:right="216"/>
      </w:pPr>
      <w:r>
        <w:rPr>
          <w:rFonts w:ascii="Arial" w:hAnsi="Arial"/>
        </w:rPr>
        <w:t>Good morning. Our project is about whether corporate news spreads across competitors in the stock market. The title is Contagion or Competition? The idea is simple: when a company makes news, investors may update not only that company's value, but also the value of its rivals. For example, if news about Nvidia signals stronger AI demand, AMD or Broadcom might also move. But if the news shows Nvidia gaining a competitive advantage, rivals might fall. So the question is not only whether news matters, but what type of spillover it creates. To study this, we combine two elements: LLM classification of corporate news, and a short-window event study using stock returns.</w:t>
      </w:r>
    </w:p>
    <w:p>
      <w:pPr>
        <w:pStyle w:val="Heading2"/>
      </w:pPr>
      <w:r>
        <w:rPr>
          <w:rFonts w:ascii="Arial" w:hAnsi="Arial"/>
        </w:rPr>
        <w:t>Slide 2 - Research Question (Presenter 1, 1:10-2:30)</w:t>
      </w:r>
    </w:p>
    <w:p>
      <w:r>
        <w:rPr>
          <w:rFonts w:ascii="Arial" w:hAnsi="Arial"/>
          <w:b/>
        </w:rPr>
        <w:t xml:space="preserve">Core point: </w:t>
      </w:r>
      <w:r>
        <w:rPr>
          <w:rFonts w:ascii="Arial" w:hAnsi="Arial"/>
        </w:rPr>
        <w:t>Explain contagion versus competition without going into technical detail.</w:t>
      </w:r>
    </w:p>
    <w:p>
      <w:r>
        <w:rPr>
          <w:rFonts w:ascii="Arial" w:hAnsi="Arial"/>
          <w:b/>
        </w:rPr>
        <w:t>Say:</w:t>
      </w:r>
    </w:p>
    <w:p>
      <w:pPr>
        <w:spacing w:after="120"/>
        <w:ind w:left="360" w:right="216"/>
      </w:pPr>
      <w:r>
        <w:rPr>
          <w:rFonts w:ascii="Arial" w:hAnsi="Arial"/>
        </w:rPr>
        <w:t>The central question is: when a firm makes news, do its rivals move? We test two competing mechanisms. The first is industry contagion. Here, news reveals something common to the whole sector, so competitors move in the same direction. The second is competitive substitution. Here, one firm's good news can be bad news for rivals, because investors expect market share to shift. We also test whether the LLM labels have value. In other words, when the model says a headline should affect competitors in a certain direction, do returns line up with that classification?</w:t>
      </w:r>
    </w:p>
    <w:p>
      <w:pPr>
        <w:pStyle w:val="Heading2"/>
      </w:pPr>
      <w:r>
        <w:rPr>
          <w:rFonts w:ascii="Arial" w:hAnsi="Arial"/>
        </w:rPr>
        <w:t>Slide 3 - Dataset Construction (Presenter 1, 2:30-3:35)</w:t>
      </w:r>
    </w:p>
    <w:p>
      <w:r>
        <w:rPr>
          <w:rFonts w:ascii="Arial" w:hAnsi="Arial"/>
          <w:b/>
        </w:rPr>
        <w:t xml:space="preserve">Core point: </w:t>
      </w:r>
      <w:r>
        <w:rPr>
          <w:rFonts w:ascii="Arial" w:hAnsi="Arial"/>
        </w:rPr>
        <w:t>Say the data pipeline once. Do not explain every cleaning step.</w:t>
      </w:r>
    </w:p>
    <w:p>
      <w:r>
        <w:rPr>
          <w:rFonts w:ascii="Arial" w:hAnsi="Arial"/>
          <w:b/>
        </w:rPr>
        <w:t>Say:</w:t>
      </w:r>
    </w:p>
    <w:p>
      <w:pPr>
        <w:spacing w:after="120"/>
        <w:ind w:left="360" w:right="216"/>
      </w:pPr>
      <w:r>
        <w:rPr>
          <w:rFonts w:ascii="Arial" w:hAnsi="Arial"/>
        </w:rPr>
        <w:t>The data pipeline starts from ticker-linked corporate news. This gives us 55,094 raw rows. After cleaning missing or unusable text, we keep 52,538 rows. Since the same article can be linked to more than one ticker, we deduplicate at article level and get 38,131 unique articles. We then classify a balanced sample of 1,250 articles with the LLM. Of these, 930 are judged relevant for our economic question. After mapping those articles back to source tickers and competitors, we obtain 4,544 event-panel rows. The main point is that we move from a large noisy news dataset to a smaller but economically interpretable event dataset.</w:t>
      </w:r>
    </w:p>
    <w:p>
      <w:pPr>
        <w:pStyle w:val="Heading2"/>
      </w:pPr>
      <w:r>
        <w:rPr>
          <w:rFonts w:ascii="Arial" w:hAnsi="Arial"/>
        </w:rPr>
        <w:t>Slide 4 - Competitor Groups (Presenter 1, 3:35-4:25)</w:t>
      </w:r>
    </w:p>
    <w:p>
      <w:r>
        <w:rPr>
          <w:rFonts w:ascii="Arial" w:hAnsi="Arial"/>
          <w:b/>
        </w:rPr>
        <w:t xml:space="preserve">Core point: </w:t>
      </w:r>
      <w:r>
        <w:rPr>
          <w:rFonts w:ascii="Arial" w:hAnsi="Arial"/>
        </w:rPr>
        <w:t>Show that competitors were defined before the analysis.</w:t>
      </w:r>
    </w:p>
    <w:p>
      <w:r>
        <w:rPr>
          <w:rFonts w:ascii="Arial" w:hAnsi="Arial"/>
          <w:b/>
        </w:rPr>
        <w:t>Say:</w:t>
      </w:r>
    </w:p>
    <w:p>
      <w:pPr>
        <w:spacing w:after="120"/>
        <w:ind w:left="360" w:right="216"/>
      </w:pPr>
      <w:r>
        <w:rPr>
          <w:rFonts w:ascii="Arial" w:hAnsi="Arial"/>
        </w:rPr>
        <w:t>We study 22 firms across five competitor groups: autos and EVs, semiconductors and AI, airlines and travel, banks and finance, and big tech and cloud. These groups are defined before looking at the results. That matters because we are not searching for competitors after the fact. For each article linked to one firm, the competitors are the other firms in the same group. For example, an Nvidia article can be matched to AMD, Intel, Qualcomm, and Broadcom. SPY is used as the market benchmark when we calculate abnormal returns.</w:t>
      </w:r>
    </w:p>
    <w:p>
      <w:r>
        <w:rPr>
          <w:rFonts w:ascii="Arial" w:hAnsi="Arial"/>
          <w:b/>
        </w:rPr>
        <w:t xml:space="preserve">Transition: </w:t>
      </w:r>
      <w:r>
        <w:rPr>
          <w:rFonts w:ascii="Arial" w:hAnsi="Arial"/>
        </w:rPr>
        <w:t>Hand over to Presenter 2: "Now we move from the data structure to how the articles were classified and tested."</w:t>
      </w:r>
    </w:p>
    <w:p>
      <w:pPr>
        <w:pStyle w:val="Heading2"/>
      </w:pPr>
      <w:r>
        <w:rPr>
          <w:rFonts w:ascii="Arial" w:hAnsi="Arial"/>
        </w:rPr>
        <w:t>Slide 5 - LLM Labeling (Presenter 2, 4:25-5:45)</w:t>
      </w:r>
    </w:p>
    <w:p>
      <w:r>
        <w:rPr>
          <w:rFonts w:ascii="Arial" w:hAnsi="Arial"/>
          <w:b/>
        </w:rPr>
        <w:t xml:space="preserve">Core point: </w:t>
      </w:r>
      <w:r>
        <w:rPr>
          <w:rFonts w:ascii="Arial" w:hAnsi="Arial"/>
        </w:rPr>
        <w:t>Clarify that the LLM labels news. It does not predict returns.</w:t>
      </w:r>
    </w:p>
    <w:p>
      <w:r>
        <w:rPr>
          <w:rFonts w:ascii="Arial" w:hAnsi="Arial"/>
          <w:b/>
        </w:rPr>
        <w:t>Say:</w:t>
      </w:r>
    </w:p>
    <w:p>
      <w:pPr>
        <w:spacing w:after="120"/>
        <w:ind w:left="360" w:right="216"/>
      </w:pPr>
      <w:r>
        <w:rPr>
          <w:rFonts w:ascii="Arial" w:hAnsi="Arial"/>
        </w:rPr>
        <w:t>The key methodological problem is that raw news text is not directly usable. Some articles are clean firm events. Others are market roundups, analyst notes, macro-policy stories, or articles that mention a ticker without real relevance. A keyword filter would be too crude. So we use an LLM as a structured classification layer. The model reads the headline and summary and returns a JSON output with labels such as relevance, relevance type, sentiment, news scope, expected competitor effect, materiality, and confidence. We used temperature zero and a fixed schema, so the goal is not creative generation. The goal is a repeatable label for each article.</w:t>
      </w:r>
    </w:p>
    <w:p>
      <w:pPr>
        <w:pStyle w:val="Heading2"/>
      </w:pPr>
      <w:r>
        <w:rPr>
          <w:rFonts w:ascii="Arial" w:hAnsi="Arial"/>
        </w:rPr>
        <w:t>Slide 6 - Relevance-Type Labels (Presenter 2, 5:45-6:45)</w:t>
      </w:r>
    </w:p>
    <w:p>
      <w:r>
        <w:rPr>
          <w:rFonts w:ascii="Arial" w:hAnsi="Arial"/>
          <w:b/>
        </w:rPr>
        <w:t xml:space="preserve">Core point: </w:t>
      </w:r>
      <w:r>
        <w:rPr>
          <w:rFonts w:ascii="Arial" w:hAnsi="Arial"/>
        </w:rPr>
        <w:t>Explain why the relevance screen matters.</w:t>
      </w:r>
    </w:p>
    <w:p>
      <w:r>
        <w:rPr>
          <w:rFonts w:ascii="Arial" w:hAnsi="Arial"/>
          <w:b/>
        </w:rPr>
        <w:t>Say:</w:t>
      </w:r>
    </w:p>
    <w:p>
      <w:pPr>
        <w:spacing w:after="120"/>
        <w:ind w:left="360" w:right="216"/>
      </w:pPr>
      <w:r>
        <w:rPr>
          <w:rFonts w:ascii="Arial" w:hAnsi="Arial"/>
        </w:rPr>
        <w:t>This slide shows why the LLM layer is useful. Out of 1,250 classified articles, 320 are not economically relevant, even though they passed technical cleaning. The relevant articles are also not all the same. Some are direct target-company news, some are industry news, some are competitor-company news, and some are broad market roundups that are relevant but weaker. We keep this distinction because it lets us test robustness later. In particular, we can compare the broad sample with a stricter sample that excludes weaker market roundups.</w:t>
      </w:r>
    </w:p>
    <w:p>
      <w:pPr>
        <w:pStyle w:val="Heading2"/>
      </w:pPr>
      <w:r>
        <w:rPr>
          <w:rFonts w:ascii="Arial" w:hAnsi="Arial"/>
        </w:rPr>
        <w:t>Slide 7 - Event-Study Method (Presenter 2, 6:45-8:25)</w:t>
      </w:r>
    </w:p>
    <w:p>
      <w:r>
        <w:rPr>
          <w:rFonts w:ascii="Arial" w:hAnsi="Arial"/>
          <w:b/>
        </w:rPr>
        <w:t xml:space="preserve">Core point: </w:t>
      </w:r>
      <w:r>
        <w:rPr>
          <w:rFonts w:ascii="Arial" w:hAnsi="Arial"/>
        </w:rPr>
        <w:t>This is the most technical slide. Keep it precise but simple.</w:t>
      </w:r>
    </w:p>
    <w:p>
      <w:r>
        <w:rPr>
          <w:rFonts w:ascii="Arial" w:hAnsi="Arial"/>
          <w:b/>
        </w:rPr>
        <w:t>Say:</w:t>
      </w:r>
    </w:p>
    <w:p>
      <w:pPr>
        <w:spacing w:after="120"/>
        <w:ind w:left="360" w:right="216"/>
      </w:pPr>
      <w:r>
        <w:rPr>
          <w:rFonts w:ascii="Arial" w:hAnsi="Arial"/>
        </w:rPr>
        <w:t>After classification, we connect articles to stock returns. We use a standard event-study idea: calculate abnormal returns by subtracting the market return from the competitor's return. In our case, the benchmark is SPY, so abnormal return is the stock return minus the SPY return on the same day. We then look at short windows after the article. The main outcome is next-day abnormal return, because our news timing is daily, not intraday. We also look at CAR(0,1) and CAR(1,3), meaning cumulative abnormal returns across short windows. The important point is that the LLM does not predict returns. It defines the event categories, and the event study tests whether returns behave differently across those categories.</w:t>
      </w:r>
    </w:p>
    <w:p>
      <w:pPr>
        <w:pStyle w:val="Heading2"/>
      </w:pPr>
      <w:r>
        <w:rPr>
          <w:rFonts w:ascii="Arial" w:hAnsi="Arial"/>
        </w:rPr>
        <w:t>Slide 8 - Sample Definitions (Presenter 2, 8:25-9:30)</w:t>
      </w:r>
    </w:p>
    <w:p>
      <w:r>
        <w:rPr>
          <w:rFonts w:ascii="Arial" w:hAnsi="Arial"/>
          <w:b/>
        </w:rPr>
        <w:t xml:space="preserve">Core point: </w:t>
      </w:r>
      <w:r>
        <w:rPr>
          <w:rFonts w:ascii="Arial" w:hAnsi="Arial"/>
        </w:rPr>
        <w:t>Explain broad, strict, and very strict as a robustness check.</w:t>
      </w:r>
    </w:p>
    <w:p>
      <w:r>
        <w:rPr>
          <w:rFonts w:ascii="Arial" w:hAnsi="Arial"/>
          <w:b/>
        </w:rPr>
        <w:t>Say:</w:t>
      </w:r>
    </w:p>
    <w:p>
      <w:pPr>
        <w:spacing w:after="120"/>
        <w:ind w:left="360" w:right="216"/>
      </w:pPr>
      <w:r>
        <w:rPr>
          <w:rFonts w:ascii="Arial" w:hAnsi="Arial"/>
        </w:rPr>
        <w:t>We use three sample definitions. The broad sample includes all relevant event rows and gives us 4,544 panel rows. The strict sample removes relevant market roundups, leaving 2,973 rows. The very strict sample keeps only events with higher materiality and confidence, leaving 2,273 rows. This design checks whether the result depends on looser articles. If the same pattern survives when we tighten the sample, it becomes more credible. In practice, the main contagion result does survive, while competition-oriented labels become too sparse to support a strong conclusion.</w:t>
      </w:r>
    </w:p>
    <w:p>
      <w:r>
        <w:rPr>
          <w:rFonts w:ascii="Arial" w:hAnsi="Arial"/>
          <w:b/>
        </w:rPr>
        <w:t xml:space="preserve">Transition: </w:t>
      </w:r>
      <w:r>
        <w:rPr>
          <w:rFonts w:ascii="Arial" w:hAnsi="Arial"/>
        </w:rPr>
        <w:t>Hand over to Presenter 3: "Now that the method is clear, we can move to the main empirical results."</w:t>
      </w:r>
    </w:p>
    <w:p>
      <w:pPr>
        <w:pStyle w:val="Heading2"/>
      </w:pPr>
      <w:r>
        <w:rPr>
          <w:rFonts w:ascii="Arial" w:hAnsi="Arial"/>
        </w:rPr>
        <w:t>Slide 9 - Mean Next-Day Competitor AR (Presenter 3, 9:30-10:45)</w:t>
      </w:r>
    </w:p>
    <w:p>
      <w:r>
        <w:rPr>
          <w:rFonts w:ascii="Arial" w:hAnsi="Arial"/>
          <w:b/>
        </w:rPr>
        <w:t xml:space="preserve">Core point: </w:t>
      </w:r>
      <w:r>
        <w:rPr>
          <w:rFonts w:ascii="Arial" w:hAnsi="Arial"/>
        </w:rPr>
        <w:t>Do not overplay the competition bar. Emphasize sample size.</w:t>
      </w:r>
    </w:p>
    <w:p>
      <w:r>
        <w:rPr>
          <w:rFonts w:ascii="Arial" w:hAnsi="Arial"/>
          <w:b/>
        </w:rPr>
        <w:t>Say:</w:t>
      </w:r>
    </w:p>
    <w:p>
      <w:pPr>
        <w:spacing w:after="120"/>
        <w:ind w:left="360" w:right="216"/>
      </w:pPr>
      <w:r>
        <w:rPr>
          <w:rFonts w:ascii="Arial" w:hAnsi="Arial"/>
        </w:rPr>
        <w:t>This is the first key result. The mean next-day competitor abnormal return is positive for same-direction contagion. It is around 0.27 percent in the broad sample, and this category has many observations, so it is the most credible part of the figure. The opposite-direction competition bar looks larger, around 0.72 percent, but it is based on only a few articles, so we do not interpret it as strong evidence. The negative-for-rivals category is slightly negative, which is directionally sensible, but it is not central. The important message is that the well-populated evidence points more toward same-direction spillovers than clean winner-loser substitution.</w:t>
      </w:r>
    </w:p>
    <w:p>
      <w:pPr>
        <w:pStyle w:val="Heading2"/>
      </w:pPr>
      <w:r>
        <w:rPr>
          <w:rFonts w:ascii="Arial" w:hAnsi="Arial"/>
        </w:rPr>
        <w:t>Slide 10 - Returns by News Type (Presenter 3, 10:45-11:55)</w:t>
      </w:r>
    </w:p>
    <w:p>
      <w:r>
        <w:rPr>
          <w:rFonts w:ascii="Arial" w:hAnsi="Arial"/>
          <w:b/>
        </w:rPr>
        <w:t xml:space="preserve">Core point: </w:t>
      </w:r>
      <w:r>
        <w:rPr>
          <w:rFonts w:ascii="Arial" w:hAnsi="Arial"/>
        </w:rPr>
        <w:t>This is one of the clearest business interpretations.</w:t>
      </w:r>
    </w:p>
    <w:p>
      <w:r>
        <w:rPr>
          <w:rFonts w:ascii="Arial" w:hAnsi="Arial"/>
          <w:b/>
        </w:rPr>
        <w:t>Say:</w:t>
      </w:r>
    </w:p>
    <w:p>
      <w:pPr>
        <w:spacing w:after="120"/>
        <w:ind w:left="360" w:right="216"/>
      </w:pPr>
      <w:r>
        <w:rPr>
          <w:rFonts w:ascii="Arial" w:hAnsi="Arial"/>
        </w:rPr>
        <w:t>Looking at the type of news gives an even clearer pattern. Industry news has the strongest next-day competitor response, about 0.66 percent. Target-company news is much smaller, around 0.07 percent, and competitor-company news is close to zero. This is consistent with the idea that rivals move most when the article contains sector-level information, not just narrow information about one company. We also see persistence: for industry news, the CAR(1,3) window is about 0.88 percent, suggesting that the reaction is not only a one-day blip.</w:t>
      </w:r>
    </w:p>
    <w:p>
      <w:pPr>
        <w:pStyle w:val="Heading2"/>
      </w:pPr>
      <w:r>
        <w:rPr>
          <w:rFonts w:ascii="Arial" w:hAnsi="Arial"/>
        </w:rPr>
        <w:t>Slide 11 - Main Results Table (Presenter 3, 11:55-13:15)</w:t>
      </w:r>
    </w:p>
    <w:p>
      <w:r>
        <w:rPr>
          <w:rFonts w:ascii="Arial" w:hAnsi="Arial"/>
          <w:b/>
        </w:rPr>
        <w:t xml:space="preserve">Core point: </w:t>
      </w:r>
      <w:r>
        <w:rPr>
          <w:rFonts w:ascii="Arial" w:hAnsi="Arial"/>
        </w:rPr>
        <w:t>Say only the strongest results. Avoid reading the full table.</w:t>
      </w:r>
    </w:p>
    <w:p>
      <w:r>
        <w:rPr>
          <w:rFonts w:ascii="Arial" w:hAnsi="Arial"/>
          <w:b/>
        </w:rPr>
        <w:t>Say:</w:t>
      </w:r>
    </w:p>
    <w:p>
      <w:pPr>
        <w:spacing w:after="120"/>
        <w:ind w:left="360" w:right="216"/>
      </w:pPr>
      <w:r>
        <w:rPr>
          <w:rFonts w:ascii="Arial" w:hAnsi="Arial"/>
        </w:rPr>
        <w:t>The regression results support the same reading. In the strict sample, industry news has a positive next-day coefficient of about 0.62 percent, with a p-value around 0.003. This is the cleanest statistical result. Same-direction contagion is also stronger in the cumulative window: CAR(1,3) rises from about 1.13 percent in the broad sample to about 1.49 percent in the strict sample. By contrast, competitive substitution remains statistically unreliable because there are too few clean cases. So the strongest evidence is not that one firm's gain hurts rivals; it is that news often carries common information that moves rivals in the same direction.</w:t>
      </w:r>
    </w:p>
    <w:p>
      <w:pPr>
        <w:pStyle w:val="Heading2"/>
      </w:pPr>
      <w:r>
        <w:rPr>
          <w:rFonts w:ascii="Arial" w:hAnsi="Arial"/>
        </w:rPr>
        <w:t>Slide 12 - Conclusion (Presenter 3, 13:15-14:45)</w:t>
      </w:r>
    </w:p>
    <w:p>
      <w:r>
        <w:rPr>
          <w:rFonts w:ascii="Arial" w:hAnsi="Arial"/>
          <w:b/>
        </w:rPr>
        <w:t xml:space="preserve">Core point: </w:t>
      </w:r>
      <w:r>
        <w:rPr>
          <w:rFonts w:ascii="Arial" w:hAnsi="Arial"/>
        </w:rPr>
        <w:t>Finish with a direct answer to the research question and limitations.</w:t>
      </w:r>
    </w:p>
    <w:p>
      <w:r>
        <w:rPr>
          <w:rFonts w:ascii="Arial" w:hAnsi="Arial"/>
          <w:b/>
        </w:rPr>
        <w:t>Say:</w:t>
      </w:r>
    </w:p>
    <w:p>
      <w:pPr>
        <w:spacing w:after="120"/>
        <w:ind w:left="360" w:right="216"/>
      </w:pPr>
      <w:r>
        <w:rPr>
          <w:rFonts w:ascii="Arial" w:hAnsi="Arial"/>
        </w:rPr>
        <w:t>Our conclusion is that, in the short run, contagion beats competition. The results support H1 because relevant corporate news is associated with measurable competitor abnormal returns. They support H2 because industry news and same-direction contagion show positive competitor reactions. H3 is only partially supported: the LLM labels do carry signal, but the expected competition effect is too rare and imprecise to be a strong result. The main limitation is that this is exploratory. We classify a balanced sample, not the entire article universe, and we use daily timing rather than intraday timing. Still, within that scope, the project shows that LLM-based classification can make event studies more targeted and interpretable.</w:t>
      </w:r>
    </w:p>
    <w:p>
      <w:r>
        <w:rPr>
          <w:rFonts w:ascii="Arial" w:hAnsi="Arial"/>
        </w:rPr>
        <w:br w:type="page"/>
      </w:r>
    </w:p>
    <w:p>
      <w:pPr>
        <w:pStyle w:val="Heading1"/>
      </w:pPr>
      <w:r>
        <w:rPr>
          <w:rFonts w:ascii="Arial" w:hAnsi="Arial"/>
        </w:rPr>
        <w:t>Emergency shorter version if time is running out</w:t>
      </w:r>
    </w:p>
    <w:p>
      <w:pPr>
        <w:pStyle w:val="ListBullet"/>
      </w:pPr>
      <w:r>
        <w:rPr>
          <w:rFonts w:ascii="Arial" w:hAnsi="Arial"/>
          <w:b/>
        </w:rPr>
        <w:t xml:space="preserve">After Slide 3: </w:t>
      </w:r>
      <w:r>
        <w:rPr>
          <w:rFonts w:ascii="Arial" w:hAnsi="Arial"/>
        </w:rPr>
        <w:t>Skip one or two dataset numbers. Keep only: 55,094 raw rows, 1,250 LLM-classified articles, 930 relevant events.</w:t>
      </w:r>
    </w:p>
    <w:p>
      <w:pPr>
        <w:pStyle w:val="ListBullet"/>
      </w:pPr>
      <w:r>
        <w:rPr>
          <w:rFonts w:ascii="Arial" w:hAnsi="Arial"/>
          <w:b/>
        </w:rPr>
        <w:t xml:space="preserve">After Slide 6: </w:t>
      </w:r>
      <w:r>
        <w:rPr>
          <w:rFonts w:ascii="Arial" w:hAnsi="Arial"/>
        </w:rPr>
        <w:t>Do not describe every relevance type. Say only that 320 articles were not relevant and the rest were separated into useful economic categories.</w:t>
      </w:r>
    </w:p>
    <w:p>
      <w:pPr>
        <w:pStyle w:val="ListBullet"/>
      </w:pPr>
      <w:r>
        <w:rPr>
          <w:rFonts w:ascii="Arial" w:hAnsi="Arial"/>
          <w:b/>
        </w:rPr>
        <w:t xml:space="preserve">Slide 8: </w:t>
      </w:r>
      <w:r>
        <w:rPr>
          <w:rFonts w:ascii="Arial" w:hAnsi="Arial"/>
        </w:rPr>
        <w:t>Say only: broad = all relevant, strict = removes market roundups, very strict = high-confidence and material events.</w:t>
      </w:r>
    </w:p>
    <w:p>
      <w:pPr>
        <w:pStyle w:val="ListBullet"/>
      </w:pPr>
      <w:r>
        <w:rPr>
          <w:rFonts w:ascii="Arial" w:hAnsi="Arial"/>
          <w:b/>
        </w:rPr>
        <w:t xml:space="preserve">Slides 9-11: </w:t>
      </w:r>
      <w:r>
        <w:rPr>
          <w:rFonts w:ascii="Arial" w:hAnsi="Arial"/>
        </w:rPr>
        <w:t>Focus on three numbers only: same-direction contagion +0.27 percent, industry news +0.66 percent, strict industry-news p-value around 0.003.</w:t>
      </w:r>
    </w:p>
    <w:p>
      <w:pPr>
        <w:pStyle w:val="ListBullet"/>
      </w:pPr>
      <w:r>
        <w:rPr>
          <w:rFonts w:ascii="Arial" w:hAnsi="Arial"/>
          <w:b/>
        </w:rPr>
        <w:t xml:space="preserve">Conclusion: </w:t>
      </w:r>
      <w:r>
        <w:rPr>
          <w:rFonts w:ascii="Arial" w:hAnsi="Arial"/>
        </w:rPr>
        <w:t>End with: "The evidence supports contagion more than competition, with LLM labels helping define cleaner events."</w:t>
      </w:r>
    </w:p>
    <w:p>
      <w:pPr>
        <w:pStyle w:val="Heading1"/>
      </w:pPr>
      <w:r>
        <w:rPr>
          <w:rFonts w:ascii="Arial" w:hAnsi="Arial"/>
        </w:rPr>
        <w:t>Possible questions and suggested answers</w:t>
      </w:r>
    </w:p>
    <w:p>
      <w:pPr>
        <w:pStyle w:val="Heading3"/>
      </w:pPr>
      <w:r>
        <w:rPr>
          <w:rFonts w:ascii="Arial" w:hAnsi="Arial"/>
        </w:rPr>
        <w:t>Why did you use an LLM instead of keyword rules?</w:t>
      </w:r>
    </w:p>
    <w:p>
      <w:r>
        <w:rPr>
          <w:rFonts w:ascii="Arial" w:hAnsi="Arial"/>
          <w:b/>
        </w:rPr>
        <w:t xml:space="preserve">Suggested answer: </w:t>
      </w:r>
      <w:r>
        <w:rPr>
          <w:rFonts w:ascii="Arial" w:hAnsi="Arial"/>
        </w:rPr>
        <w:t>Because the key task is interpretation, not only word matching. We needed to distinguish target-company news, industry news, market roundups, macro-policy news, and expected competitor effect. Simple keywords are too crude for those distinctions.</w:t>
      </w:r>
    </w:p>
    <w:p>
      <w:pPr>
        <w:pStyle w:val="Heading3"/>
      </w:pPr>
      <w:r>
        <w:rPr>
          <w:rFonts w:ascii="Arial" w:hAnsi="Arial"/>
        </w:rPr>
        <w:t>Did the LLM predict stock returns?</w:t>
      </w:r>
    </w:p>
    <w:p>
      <w:r>
        <w:rPr>
          <w:rFonts w:ascii="Arial" w:hAnsi="Arial"/>
          <w:b/>
        </w:rPr>
        <w:t xml:space="preserve">Suggested answer: </w:t>
      </w:r>
      <w:r>
        <w:rPr>
          <w:rFonts w:ascii="Arial" w:hAnsi="Arial"/>
        </w:rPr>
        <w:t>No. The LLM only classified the news text into structured labels. The returns were calculated separately from market data. The event study then tested whether those labels were associated with abnormal returns.</w:t>
      </w:r>
    </w:p>
    <w:p>
      <w:pPr>
        <w:pStyle w:val="Heading3"/>
      </w:pPr>
      <w:r>
        <w:rPr>
          <w:rFonts w:ascii="Arial" w:hAnsi="Arial"/>
        </w:rPr>
        <w:t>Why did you classify only 1,250 articles instead of all 38,131 unique articles?</w:t>
      </w:r>
    </w:p>
    <w:p>
      <w:r>
        <w:rPr>
          <w:rFonts w:ascii="Arial" w:hAnsi="Arial"/>
          <w:b/>
        </w:rPr>
        <w:t xml:space="preserve">Suggested answer: </w:t>
      </w:r>
      <w:r>
        <w:rPr>
          <w:rFonts w:ascii="Arial" w:hAnsi="Arial"/>
        </w:rPr>
        <w:t>This was a scope and cost decision. We used a balanced stratified sample so that sectors and article types were represented more evenly. The limitation is that results describe the structured sample, not the full article universe.</w:t>
      </w:r>
    </w:p>
    <w:p>
      <w:pPr>
        <w:pStyle w:val="Heading3"/>
      </w:pPr>
      <w:r>
        <w:rPr>
          <w:rFonts w:ascii="Arial" w:hAnsi="Arial"/>
        </w:rPr>
        <w:t>What exactly is abnormal return?</w:t>
      </w:r>
    </w:p>
    <w:p>
      <w:r>
        <w:rPr>
          <w:rFonts w:ascii="Arial" w:hAnsi="Arial"/>
          <w:b/>
        </w:rPr>
        <w:t xml:space="preserve">Suggested answer: </w:t>
      </w:r>
      <w:r>
        <w:rPr>
          <w:rFonts w:ascii="Arial" w:hAnsi="Arial"/>
        </w:rPr>
        <w:t>It is the competitor stock return minus the market benchmark return on the same day. In our main specification, the benchmark is SPY. So if a competitor rose 1.2 percent and SPY rose 0.4 percent, the abnormal return is 0.8 percent.</w:t>
      </w:r>
    </w:p>
    <w:p>
      <w:pPr>
        <w:pStyle w:val="Heading3"/>
      </w:pPr>
      <w:r>
        <w:rPr>
          <w:rFonts w:ascii="Arial" w:hAnsi="Arial"/>
        </w:rPr>
        <w:t>Why use SPY as the benchmark?</w:t>
      </w:r>
    </w:p>
    <w:p>
      <w:r>
        <w:rPr>
          <w:rFonts w:ascii="Arial" w:hAnsi="Arial"/>
          <w:b/>
        </w:rPr>
        <w:t xml:space="preserve">Suggested answer: </w:t>
      </w:r>
      <w:r>
        <w:rPr>
          <w:rFonts w:ascii="Arial" w:hAnsi="Arial"/>
        </w:rPr>
        <w:t>SPY is a broad market proxy. The goal is to remove general market movement and focus on the part of the competitor return that is not just the whole market moving up or down.</w:t>
      </w:r>
    </w:p>
    <w:p>
      <w:pPr>
        <w:pStyle w:val="Heading3"/>
      </w:pPr>
      <w:r>
        <w:rPr>
          <w:rFonts w:ascii="Arial" w:hAnsi="Arial"/>
        </w:rPr>
        <w:t>Why daily returns instead of intraday returns?</w:t>
      </w:r>
    </w:p>
    <w:p>
      <w:r>
        <w:rPr>
          <w:rFonts w:ascii="Arial" w:hAnsi="Arial"/>
          <w:b/>
        </w:rPr>
        <w:t xml:space="preserve">Suggested answer: </w:t>
      </w:r>
      <w:r>
        <w:rPr>
          <w:rFonts w:ascii="Arial" w:hAnsi="Arial"/>
        </w:rPr>
        <w:t>The available article timing is reliable at the date level, but not always reliable before or after market close. Daily timing is more conservative. A natural extension would be intraday timestamps and intraday prices.</w:t>
      </w:r>
    </w:p>
    <w:p>
      <w:pPr>
        <w:pStyle w:val="Heading3"/>
      </w:pPr>
      <w:r>
        <w:rPr>
          <w:rFonts w:ascii="Arial" w:hAnsi="Arial"/>
        </w:rPr>
        <w:t>Is this causal?</w:t>
      </w:r>
    </w:p>
    <w:p>
      <w:r>
        <w:rPr>
          <w:rFonts w:ascii="Arial" w:hAnsi="Arial"/>
          <w:b/>
        </w:rPr>
        <w:t xml:space="preserve">Suggested answer: </w:t>
      </w:r>
      <w:r>
        <w:rPr>
          <w:rFonts w:ascii="Arial" w:hAnsi="Arial"/>
        </w:rPr>
        <w:t>Not fully. It is an exploratory event-study design. It shows disciplined associations between classified news events and short-run competitor abnormal returns, but it cannot fully rule out overlapping information arrivals or other confounds.</w:t>
      </w:r>
    </w:p>
    <w:p>
      <w:pPr>
        <w:pStyle w:val="Heading3"/>
      </w:pPr>
      <w:r>
        <w:rPr>
          <w:rFonts w:ascii="Arial" w:hAnsi="Arial"/>
        </w:rPr>
        <w:t>Why are the competitor groups predefined?</w:t>
      </w:r>
    </w:p>
    <w:p>
      <w:r>
        <w:rPr>
          <w:rFonts w:ascii="Arial" w:hAnsi="Arial"/>
          <w:b/>
        </w:rPr>
        <w:t xml:space="preserve">Suggested answer: </w:t>
      </w:r>
      <w:r>
        <w:rPr>
          <w:rFonts w:ascii="Arial" w:hAnsi="Arial"/>
        </w:rPr>
        <w:t>To avoid choosing competitors after seeing the results. We define economic neighborhoods in advance, such as semiconductors, airlines, banks, autos, and big tech.</w:t>
      </w:r>
    </w:p>
    <w:p>
      <w:pPr>
        <w:pStyle w:val="Heading3"/>
      </w:pPr>
      <w:r>
        <w:rPr>
          <w:rFonts w:ascii="Arial" w:hAnsi="Arial"/>
        </w:rPr>
        <w:t>What is the strongest result?</w:t>
      </w:r>
    </w:p>
    <w:p>
      <w:r>
        <w:rPr>
          <w:rFonts w:ascii="Arial" w:hAnsi="Arial"/>
          <w:b/>
        </w:rPr>
        <w:t xml:space="preserve">Suggested answer: </w:t>
      </w:r>
      <w:r>
        <w:rPr>
          <w:rFonts w:ascii="Arial" w:hAnsi="Arial"/>
        </w:rPr>
        <w:t>The cleanest result is industry news in the strict sample: the next-day competitor abnormal return coefficient is about +0.62 percent with a p-value around 0.003. Same-direction contagion is also stronger in the CAR(1,3) cumulative window.</w:t>
      </w:r>
    </w:p>
    <w:p>
      <w:pPr>
        <w:pStyle w:val="Heading3"/>
      </w:pPr>
      <w:r>
        <w:rPr>
          <w:rFonts w:ascii="Arial" w:hAnsi="Arial"/>
        </w:rPr>
        <w:t>Why not claim strong evidence for competitive substitution?</w:t>
      </w:r>
    </w:p>
    <w:p>
      <w:r>
        <w:rPr>
          <w:rFonts w:ascii="Arial" w:hAnsi="Arial"/>
          <w:b/>
        </w:rPr>
        <w:t xml:space="preserve">Suggested answer: </w:t>
      </w:r>
      <w:r>
        <w:rPr>
          <w:rFonts w:ascii="Arial" w:hAnsi="Arial"/>
        </w:rPr>
        <w:t>The clean competition-style cases are too rare. The opposite-direction category has very few unique articles, so even if the mean looks large, the estimate is imprecise and not reliable enough for a strong claim.</w:t>
      </w:r>
    </w:p>
    <w:p>
      <w:pPr>
        <w:pStyle w:val="Heading3"/>
      </w:pPr>
      <w:r>
        <w:rPr>
          <w:rFonts w:ascii="Arial" w:hAnsi="Arial"/>
        </w:rPr>
        <w:t>What does H3 mean in the final conclusion?</w:t>
      </w:r>
    </w:p>
    <w:p>
      <w:r>
        <w:rPr>
          <w:rFonts w:ascii="Arial" w:hAnsi="Arial"/>
          <w:b/>
        </w:rPr>
        <w:t xml:space="preserve">Suggested answer: </w:t>
      </w:r>
      <w:r>
        <w:rPr>
          <w:rFonts w:ascii="Arial" w:hAnsi="Arial"/>
        </w:rPr>
        <w:t>H3 is about whether LLM labels carry signal. The results suggest that the labels help separate stronger and weaker event types. But the specific competition label is too sparse, so the support is partial rather than complete.</w:t>
      </w:r>
    </w:p>
    <w:p>
      <w:pPr>
        <w:pStyle w:val="Heading3"/>
      </w:pPr>
      <w:r>
        <w:rPr>
          <w:rFonts w:ascii="Arial" w:hAnsi="Arial"/>
        </w:rPr>
        <w:t>What would you improve next?</w:t>
      </w:r>
    </w:p>
    <w:p>
      <w:r>
        <w:rPr>
          <w:rFonts w:ascii="Arial" w:hAnsi="Arial"/>
          <w:b/>
        </w:rPr>
        <w:t xml:space="preserve">Suggested answer: </w:t>
      </w:r>
      <w:r>
        <w:rPr>
          <w:rFonts w:ascii="Arial" w:hAnsi="Arial"/>
        </w:rPr>
        <w:t>Classify the full article universe, use intraday article timestamps and intraday prices, validate a subset of LLM labels manually, test alternative benchmarks, and expand the competitor universe.</w:t>
      </w:r>
    </w:p>
    <w:p>
      <w:pPr>
        <w:pStyle w:val="Heading1"/>
      </w:pPr>
      <w:r>
        <w:rPr>
          <w:rFonts w:ascii="Arial" w:hAnsi="Arial"/>
        </w:rPr>
        <w:t>Quick do/don't list</w:t>
      </w:r>
    </w:p>
    <w:p>
      <w:r>
        <w:rPr>
          <w:rFonts w:ascii="Arial" w:hAnsi="Arial"/>
          <w:b/>
        </w:rPr>
        <w:t>Do:</w:t>
      </w:r>
    </w:p>
    <w:p>
      <w:pPr>
        <w:pStyle w:val="ListBullet"/>
      </w:pPr>
      <w:r>
        <w:rPr>
          <w:rFonts w:ascii="Arial" w:hAnsi="Arial"/>
        </w:rPr>
        <w:t>Say "LLM classification" instead of "AI predicts markets."</w:t>
      </w:r>
    </w:p>
    <w:p>
      <w:pPr>
        <w:pStyle w:val="ListBullet"/>
      </w:pPr>
      <w:r>
        <w:rPr>
          <w:rFonts w:ascii="Arial" w:hAnsi="Arial"/>
        </w:rPr>
        <w:t>Say "exploratory event study" if asked about causality.</w:t>
      </w:r>
    </w:p>
    <w:p>
      <w:pPr>
        <w:pStyle w:val="ListBullet"/>
      </w:pPr>
      <w:r>
        <w:rPr>
          <w:rFonts w:ascii="Arial" w:hAnsi="Arial"/>
        </w:rPr>
        <w:t>Emphasize industry-news results and same-direction contagion.</w:t>
      </w:r>
    </w:p>
    <w:p>
      <w:pPr>
        <w:pStyle w:val="ListBullet"/>
      </w:pPr>
      <w:r>
        <w:rPr>
          <w:rFonts w:ascii="Arial" w:hAnsi="Arial"/>
        </w:rPr>
        <w:t>Mention sample-size caution when discussing competition-oriented results.</w:t>
      </w:r>
    </w:p>
    <w:p>
      <w:pPr>
        <w:pStyle w:val="ListBullet"/>
      </w:pPr>
      <w:r>
        <w:rPr>
          <w:rFonts w:ascii="Arial" w:hAnsi="Arial"/>
        </w:rPr>
        <w:t>Use "abnormal return = stock return minus SPY return" as the simple explanation.</w:t>
      </w:r>
    </w:p>
    <w:p>
      <w:r>
        <w:rPr>
          <w:rFonts w:ascii="Arial" w:hAnsi="Arial"/>
          <w:b/>
        </w:rPr>
        <w:t>Do not:</w:t>
      </w:r>
    </w:p>
    <w:p>
      <w:pPr>
        <w:pStyle w:val="ListBullet"/>
      </w:pPr>
      <w:r>
        <w:rPr>
          <w:rFonts w:ascii="Arial" w:hAnsi="Arial"/>
        </w:rPr>
        <w:t>Do not read every ticker or every number on the slides.</w:t>
      </w:r>
    </w:p>
    <w:p>
      <w:pPr>
        <w:pStyle w:val="ListBullet"/>
      </w:pPr>
      <w:r>
        <w:rPr>
          <w:rFonts w:ascii="Arial" w:hAnsi="Arial"/>
        </w:rPr>
        <w:t>Do not claim the LLM is always correct.</w:t>
      </w:r>
    </w:p>
    <w:p>
      <w:pPr>
        <w:pStyle w:val="ListBullet"/>
      </w:pPr>
      <w:r>
        <w:rPr>
          <w:rFonts w:ascii="Arial" w:hAnsi="Arial"/>
        </w:rPr>
        <w:t>Do not say the project proves causality.</w:t>
      </w:r>
    </w:p>
    <w:p>
      <w:pPr>
        <w:pStyle w:val="ListBullet"/>
      </w:pPr>
      <w:r>
        <w:rPr>
          <w:rFonts w:ascii="Arial" w:hAnsi="Arial"/>
        </w:rPr>
        <w:t>Do not overstate the opposite-direction competition result.</w:t>
      </w:r>
    </w:p>
    <w:p>
      <w:pPr>
        <w:pStyle w:val="ListBullet"/>
      </w:pPr>
      <w:r>
        <w:rPr>
          <w:rFonts w:ascii="Arial" w:hAnsi="Arial"/>
        </w:rPr>
        <w:t>Do not call this a machine-learning return predictor.</w:t>
      </w:r>
    </w:p>
    <w:sectPr w:rsidR="00FC693F" w:rsidRPr="0006063C" w:rsidSect="00034616">
      <w:pgSz w:w="12240" w:h="15840"/>
      <w:pgMar w:top="792" w:right="936" w:bottom="792"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