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right"/>
        <w:bidi w:val="1"/>
      </w:pPr>
      <w:r>
        <w:rPr>
          <w:rFonts w:ascii="Arial" w:hAnsi="Arial"/>
          <w:b w:val="0"/>
          <w:i w:val="0"/>
          <w:color w:val="14573A"/>
          <w:sz w:val="40"/>
          <w:rFonts w:ascii="Arial" w:hAnsi="Arial" w:cs="Traditional Arabic"/>
        </w:rPr>
        <w:t>دليل إدارة النظام (System Administration Guide)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منصة فكرة (Fikra) — جامعة بيشة | University of Bisha</w:t>
      </w:r>
    </w:p>
    <w:p>
      <w:pPr>
        <w:spacing w:before="40" w:after="80"/>
        <w:jc w:val="right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الإصدار: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2.0 |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التاريخ: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سبتمبر 2026 |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المستوى الأمني: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سري للمشرفين والمطورين (Internal Admin Only)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📑 جدول المحتويات (Table of Contents)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1.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نظرة عامة على صلاحيات الإدارة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2.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نموذج التحكم بالوصول المبني على الأدوار (RBAC Matrix)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3.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إدارة القوائم المنسدلة الديناميكية (Dynamic Dropdowns Management)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إدارة الكليات والعمادات والإدارات (Colleges &amp; Deanships)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إدارة المسميات الوظيفية (Job Titles)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إدارة تصنيفات ومجالات الابتكار (Idea Categories)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4.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إدارة المستخدمين والحسابات (User &amp; Role Management)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5.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ضبط معايير الذكاء الاصطناعي (AI Similarity &amp; Threshold Settings)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6.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إدارة قاعدة البيانات والمزامنة السحابية (Supabase Cloud Sync Management)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7.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البيانات الأولية وإعادة الضبط المصنعي (Seed Data &amp; Reset Procedures)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8.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سجلات التدقيق والأمان وإدارة المخاطر (Audit &amp; Security)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9.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إجراءات الصيانة واستكشاف الأعطال (Maintenance &amp; Troubleshooting)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1. نظرة عامة على صلاحيات الإدارة</w:t>
      </w:r>
    </w:p>
    <w:p>
      <w:pPr>
        <w:spacing w:before="40" w:after="80"/>
        <w:jc w:val="right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لوحة تحكم مدير النظام (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Admin Portal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 هي الواجهة المركزية المسؤولة عن تهيئة النظام المؤسسي، إدارة الهياكل الأكاديمية والإدارية، تعيين صلاحيات المحكمين، ومراقبة التكامل مع البنية التحتية السحابية (Cloud Database / Supabase) لمحرك الابتكار في جامعة بيشة.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2. نموذج التحكم بالوصول المبني على الأدوار (RBAC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[MERMAID]</w:t>
              <w:br/>
            </w:r>
            <w:r>
              <w:rPr>
                <w:rFonts w:ascii="Consolas" w:hAnsi="Consolas"/>
                <w:b w:val="0"/>
                <w:i w:val="0"/>
                <w:color w:val="1E293B"/>
                <w:sz w:val="19"/>
                <w:rFonts w:ascii="Consolas" w:hAnsi="Consolas" w:cs="Traditional Arabic"/>
              </w:rPr>
              <w:t>graph TD</w:t>
              <w:br/>
              <w:t xml:space="preserve">    User([مستخدم النظام]) --&gt; AuthCheck{التحقق من الهوية والصلاحيات}</w:t>
              <w:br/>
              <w:t xml:space="preserve">    AuthCheck --&gt;|Role: employee| R1[بوابة الموظف: تقديم أفكار، تصويت، تعليق، متابعة]</w:t>
              <w:br/>
              <w:t xml:space="preserve">    AuthCheck --&gt;|Role: committee| R2[بوابة التحكيم: مصفوفة التقييم، قرارات الاعتماد/الرفض]</w:t>
              <w:br/>
              <w:t xml:space="preserve">    AuthCheck --&gt;|Role: admin| R3[لوحة الإدارة: الهيكل، القوائم، المستخدمين، AI، قاعدة البيانات]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4573A"/>
          <w:left w:val="none"/>
          <w:right w:val="none"/>
          <w:insideH w:val="single" w:sz="4" w:space="0" w:color="E2E8F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الوظيفة / الإجراء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الموظف (Employee)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المحكم (Committee)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مدير النظام (Admin)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طرح فكرة جديدة واستخدام رادار الذكاء الاصطناعي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التصويت والتعليق ومناقشة الأفكار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تصدير وطباعة بطاقة الفكرة الرسمية (PDF)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الوصول لبوابة لجان التحكيم والتقييم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إصدار قرارات الاعتماد والرفض وتعديل حالة الفكرة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إضافة/تعديل/حذف الكليات والعمادات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إدارة وتعديل المسميات الوظيفية والمجالات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تعديل أدوار المستخدمين وتفعيل/تعطيل الحسابات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ضبط حساسية خوارزمية التشابه الدلالي (AI Threshold)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إجراء المزامنة القسرية وإعادة ضبط البيانات الأولية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✅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3. إدارة القوائم المنسدلة الديناميكية (Dynamic Dropdowns Management)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3.1. إدارة الكليات والعمادات (Departments &amp; Colleges)</w:t>
      </w:r>
    </w:p>
    <w:p>
      <w:pPr>
        <w:spacing w:before="40" w:after="80"/>
        <w:jc w:val="right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يتيح تبويب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الكليات والإدارات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لمدير النظام إضافة أي كيان تنظيمي جديد بالجامعة دون الحاجة لتعديل الكود المصدري: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الحقول الإلزامية:</w:t>
      </w:r>
    </w:p>
    <w:p>
      <w:pPr>
        <w:pStyle w:val="ListBullet"/>
        <w:spacing w:before="20" w:after="40"/>
        <w:bidi w:val="1"/>
      </w:pP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Code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: الرمز التنظيمي (مثل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CS_IS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،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ENG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،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MED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،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DSR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).</w:t>
      </w:r>
    </w:p>
    <w:p>
      <w:pPr>
        <w:pStyle w:val="ListBullet"/>
        <w:spacing w:before="20" w:after="40"/>
        <w:bidi w:val="1"/>
      </w:pP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Arabic Name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: الاسم الرسمي بالعربية (مثل: </w:t>
      </w:r>
      <w:r>
        <w:rPr>
          <w:rFonts w:ascii="Calibri" w:hAnsi="Calibri"/>
          <w:b w:val="0"/>
          <w:i/>
          <w:color w:val="1E293B"/>
          <w:sz w:val="22"/>
          <w:rFonts w:ascii="Calibri" w:hAnsi="Calibri" w:cs="Traditional Arabic"/>
        </w:rPr>
        <w:t>كلية الحاسب الآلي ونظم المعلومات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).</w:t>
      </w:r>
    </w:p>
    <w:p>
      <w:pPr>
        <w:pStyle w:val="ListBullet"/>
        <w:spacing w:before="20" w:after="40"/>
        <w:bidi w:val="1"/>
      </w:pP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English Name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: الاسم بالإنجليزية (مثل: </w:t>
      </w:r>
      <w:r>
        <w:rPr>
          <w:rFonts w:ascii="Calibri" w:hAnsi="Calibri"/>
          <w:b w:val="0"/>
          <w:i/>
          <w:color w:val="1E293B"/>
          <w:sz w:val="22"/>
          <w:rFonts w:ascii="Calibri" w:hAnsi="Calibri" w:cs="Traditional Arabic"/>
        </w:rPr>
        <w:t>College of Computer Science &amp; Information Systems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).</w:t>
      </w:r>
    </w:p>
    <w:p>
      <w:pPr>
        <w:pStyle w:val="ListBullet"/>
        <w:spacing w:before="20" w:after="40"/>
        <w:bidi w:val="1"/>
      </w:pP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Type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: نوع الكيان (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college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أو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deanship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أو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admin_dept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التأثير الفوري: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تنعكس الإضافة والتعديل تلقائياً في شاشات تسجيل الموظفين الجدد، وفلاتر بنك الأفكار، ونماذج التقديم.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3.2. إدارة المسميات الوظيفية (Job Titles)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تسمح بضبط الرتب الأكاديمية والوظائف الإدارية (مثل: </w:t>
      </w:r>
      <w:r>
        <w:rPr>
          <w:rFonts w:ascii="Calibri" w:hAnsi="Calibri"/>
          <w:b w:val="0"/>
          <w:i/>
          <w:color w:val="1E293B"/>
          <w:sz w:val="22"/>
          <w:rFonts w:ascii="Calibri" w:hAnsi="Calibri" w:cs="Traditional Arabic"/>
        </w:rPr>
        <w:t>أستاذ دكتور، أستاذ مشارك، أستاذ مساعد، محاضر، معيد، مهندس برمجيات، أخصائي جودة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يمكن للمدير إضافة رتب جديدة مع دعم التسمية الثنائية (عربي/إنجليزي).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3.3. إدارة تصنيفات ومجالات الأفكار (Idea Categories)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تحديد مسارات المبادرات مثل: </w:t>
      </w:r>
      <w:r>
        <w:rPr>
          <w:rFonts w:ascii="Calibri" w:hAnsi="Calibri"/>
          <w:b w:val="0"/>
          <w:i/>
          <w:color w:val="1E293B"/>
          <w:sz w:val="22"/>
          <w:rFonts w:ascii="Calibri" w:hAnsi="Calibri" w:cs="Traditional Arabic"/>
        </w:rPr>
        <w:t>التحول الرقمي والذكاء الاصطناعي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، </w:t>
      </w:r>
      <w:r>
        <w:rPr>
          <w:rFonts w:ascii="Calibri" w:hAnsi="Calibri"/>
          <w:b w:val="0"/>
          <w:i/>
          <w:color w:val="1E293B"/>
          <w:sz w:val="22"/>
          <w:rFonts w:ascii="Calibri" w:hAnsi="Calibri" w:cs="Traditional Arabic"/>
        </w:rPr>
        <w:t>الاستدامة والبيئة الخضراء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، </w:t>
      </w:r>
      <w:r>
        <w:rPr>
          <w:rFonts w:ascii="Calibri" w:hAnsi="Calibri"/>
          <w:b w:val="0"/>
          <w:i/>
          <w:color w:val="1E293B"/>
          <w:sz w:val="22"/>
          <w:rFonts w:ascii="Calibri" w:hAnsi="Calibri" w:cs="Traditional Arabic"/>
        </w:rPr>
        <w:t>تطوير البحث العلمي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، </w:t>
      </w:r>
      <w:r>
        <w:rPr>
          <w:rFonts w:ascii="Calibri" w:hAnsi="Calibri"/>
          <w:b w:val="0"/>
          <w:i/>
          <w:color w:val="1E293B"/>
          <w:sz w:val="22"/>
          <w:rFonts w:ascii="Calibri" w:hAnsi="Calibri" w:cs="Traditional Arabic"/>
        </w:rPr>
        <w:t>الكفاءة المالية والتشغيلية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، </w:t>
      </w:r>
      <w:r>
        <w:rPr>
          <w:rFonts w:ascii="Calibri" w:hAnsi="Calibri"/>
          <w:b w:val="0"/>
          <w:i/>
          <w:color w:val="1E293B"/>
          <w:sz w:val="22"/>
          <w:rFonts w:ascii="Calibri" w:hAnsi="Calibri" w:cs="Traditional Arabic"/>
        </w:rPr>
        <w:t>خدمة المجتمع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تخصيص أيقونة تعبيرية (Icon) ولون مميز لكل تصنيف لتظهر بشكل جذاب في بطاقات الأفكار.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4. إدارة المستخدمين والحسابات (User &amp; Role Management)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1. 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الانتقال إلى تبويب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المستخدمين (Users)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في لوحة الإدارة.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2. 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استعراض قائمة كافة منسوبي الجامعة المسجلين مع عرض: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الاسم والبريد الإلكتروني الجامعي.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الكلية / الإدارة والمسمى الوظيفي.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الدور الحالي (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employee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,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committee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,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admin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عدد الأفكار المقدمة ورصيد النقاط التراكمي.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3.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تعديل صلاحية مستخدم: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الضغط على أيقونة التعديل واختيار الدور الجديد من القائمة المنسدلة ثم الضغط على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حفظ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يتم تحديث جلسة المستخدم فوراً ومنحه الوصول للبوابات المعنية (مثل بوابة لجان التحكيم).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4.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إضافة مستخدم جديد يدوياً: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إدخال البريد الإلكتروني والاسم وتحديد الدور مباشرة.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5. ضبط معايير الذكاء الاصطناعي (AI Similarity &amp; Threshold Settings)</w:t>
      </w:r>
    </w:p>
    <w:p>
      <w:pPr>
        <w:spacing w:before="40" w:after="80"/>
        <w:jc w:val="right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توفر لوحة إدارة الذكاء الاصطناعي إمكانية موازنة دقة واكتشاف التشابه بين الأفكار: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4573A"/>
          <w:left w:val="none"/>
          <w:right w:val="none"/>
          <w:insideH w:val="single" w:sz="4" w:space="0" w:color="E2E8F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المعامل (Parameter)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القيمة الافتراضية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النطاق المتاح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الوصف والأثر التشغيلي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عتبة التشابه (Similarity Threshold)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0.35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 (35%)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0.10 - 0.90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النسبة الحدية التي يبدأ عندها النظام في إظهار تنبيه الموظف بوجود أفكار سابقة مشابهة. تقليل النسبة يزيد حساسية الرادار.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الحد الأدنى للكلمات المفتاحية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3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 كلمات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1 - 10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عدد الكلمات المطلوبة في العنوان أو الوصف قبل تفعيل محرك البحث الدلالي في الخلفية.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مفتاح واجهة Gemini API (اختياري)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فارغ (محرك مدمج)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نص سري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في حال الرغبة بربط النظام مع Google Gemini Pro لتحليل متقدم وتلخيص آلي عبر السحابة.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المحرك الاحتياطي المحلي (Offline NLP)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مفعّل دائماً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نعم / لا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يضمن عمل رادار التشابه بنسبة 100% حتى في حال انقطاع الإنترنت أو عدم توفر مفاتيح API الخارجية.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6. إدارة قاعدة البيانات والمزامنة السحابية (Supabase Cloud Sync Management)</w:t>
      </w:r>
    </w:p>
    <w:p>
      <w:pPr>
        <w:spacing w:before="40" w:after="80"/>
        <w:jc w:val="right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تم تجهيز المنصة بنظام مزامنة هجين (Hybrid Sync Engine) يجمع بين سرعة التخزين المحلي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LocalStorage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وموثوقية قاعدة بيانات PostgreSQL السحابية المباشرة في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Supabase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[MERMAID]</w:t>
              <w:br/>
            </w:r>
            <w:r>
              <w:rPr>
                <w:rFonts w:ascii="Consolas" w:hAnsi="Consolas"/>
                <w:b w:val="0"/>
                <w:i w:val="0"/>
                <w:color w:val="1E293B"/>
                <w:sz w:val="19"/>
                <w:rFonts w:ascii="Consolas" w:hAnsi="Consolas" w:cs="Traditional Arabic"/>
              </w:rPr>
              <w:t>graph LR</w:t>
              <w:br/>
              <w:t xml:space="preserve">    subgraph Client [متصفح العميل]</w:t>
              <w:br/>
              <w:t xml:space="preserve">        LS[(LocalStorage Cache)] &lt;--&gt; AppState[State Manager]</w:t>
              <w:br/>
              <w:t xml:space="preserve">    end</w:t>
              <w:br/>
              <w:t xml:space="preserve">    subgraph Cloud [سحابة Supabase PostgreSQL]</w:t>
              <w:br/>
              <w:t xml:space="preserve">        DB[(PostgreSQL Database)] &lt;--&gt; RT[Realtime Engine]</w:t>
              <w:br/>
              <w:t xml:space="preserve">    end</w:t>
              <w:br/>
              <w:t xml:space="preserve">    AppState &lt;--&gt;|Async REST API / WebSocket| Cloud</w:t>
            </w:r>
          </w:p>
        </w:tc>
      </w:tr>
    </w:tbl>
    <w:p>
      <w:pPr>
        <w:spacing w:after="120"/>
      </w:pP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6.1. أدوات إدارة قاعدة البيانات المتوفرة للمدير: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فحص الاتصال (Test Cloud Connection):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التحقق من استجابة خادم Supabase وزمن الوصول (Latency).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المزامنة القسرية (Force Push to Cloud):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رفع كافة البيانات المحلية (الأفكار، التقييمات، التصنيفات، المستخدمين) إلى السحابة فوراً.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إعادة الجلب من السحابة (Pull from Cloud):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تنزيل أحدث نسخة من البيانات ومطابقة المتصفح مع السيرفر السحابي.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7. البيانات الأولية وإعادة الضبط المصنعي (Seed Data &amp; Reset Procedures)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EF3C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92400E"/>
                <w:sz w:val="21"/>
                <w:rFonts w:ascii="Calibri" w:hAnsi="Calibri" w:cs="Traditional Arabic"/>
              </w:rPr>
              <w:t>!CAUTION]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3A8A"/>
                <w:sz w:val="21"/>
                <w:rFonts w:ascii="Calibri" w:hAnsi="Calibri" w:cs="Traditional Arabic"/>
              </w:rPr>
              <w:t>يؤدي إجراء "إعادة ضبط البيانات الأولية (Reset to Factory Seed Data)" إلى مسح التعديلات المحلية غير المحفوظة واستعادة هيكل جامعة بيشة الافتراضي مع بيانات تجريبية للأفكار والمحكمين.</w:t>
            </w:r>
          </w:p>
        </w:tc>
      </w:tr>
    </w:tbl>
    <w:p>
      <w:pPr>
        <w:spacing w:after="80"/>
      </w:pP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خطوات تنفيذ إعادة الضبط: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1. 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الدخول إلى تبويب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إدارة النظام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.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2. 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الضغط على زر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إعادة ضبط البيانات الأولية (Reset Seed Data)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في أعلى اليسار.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3. 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ستظهر نافذة تأكيد تحذيرية؛ عند التأكيد يقوم النظام بإنشاء: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6 كليات وعمادات رئيسية لجامعة بيشة.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6 مسميات وظيفية قياسية.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6 تصنيفات ابتكارية معتمدة.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3 حسابات تجريبية موثقة (موظف، محكم، مدير).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4 أفكار تطويرية نموذجية متكاملة التقييمات والتصويت.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8. سجلات التدقيق والأمان وإدارة المخاطر (Audit &amp; Security)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تشفير الجلسات: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تُخزن الجلسات محلياً مع توقيع الرموز (Tokens) لمنع التلاعب.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التحقق من صحة المدخلات (Input Sanitization):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تنظيف كافة الحقول النصية لمنع هجمات XSS و Injection.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حماية التصويت والتقييم: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منع تكرار التصويت عبر تقييد معرف المستخدم الفريد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userId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لكل فكرة.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سياسة كلمات المرور: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فرض 8 خانات كحد أدنى تحتوي على أحرف وأرقام مع مؤشر تحقق مرئي فوري.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9. إجراءات الصيانة واستكشاف الأعطال (Maintenance &amp; Troubleshooting)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4573A"/>
          <w:left w:val="none"/>
          <w:right w:val="none"/>
          <w:insideH w:val="single" w:sz="4" w:space="0" w:color="E2E8F0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المشكلة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السبب المحتمل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الحل والإجراء التصحيحي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مؤشر Supabase يظهر باللون الرمادي أو الأحمر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انقطاع اتصال الإنترنت أو حظر الـ CORS على الشبكة المحلية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يعمل النظام تلقائياً عبر التخزين المحلي الآمن. تحقق من الاتصال ثم اضغط </w:t>
            </w: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فحص الاتصال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 في لوحة الإدارة.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تكرار ظهور تنبيه التشابه لفكرة جديدة كلياً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عتبة التشابه منخفضة جداً (أقل من 0.20)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ارفع عتبة التشابه إلى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0.35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 أو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0.40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 من تبويب إعدادات الذكاء الاصطناعي.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فقدان صلاحيات المحكم بعد تسجيل الدخول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الحساب مسجل بدور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employee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 xml:space="preserve">افتح لوحة الإدارة بحساب المدير، توجه لتبويب المستخدمين، وعدّل دور الحساب إلى </w:t>
            </w: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committee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48B"/>
        <w:sz w:val="18"/>
        <w:rFonts w:ascii="Calibri" w:hAnsi="Calibri" w:cs="Traditional Arabic"/>
      </w:rPr>
      <w:t>منصة إدارة الابتكار والأفكار المؤسسية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4748B"/>
        <w:sz w:val="18"/>
        <w:rFonts w:ascii="Calibri" w:hAnsi="Calibri" w:cs="Traditional Arabic"/>
      </w:rPr>
      <w:t>جامعة بيشة | University of Bisha — منصة فكرة (Fikra)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