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right"/>
        <w:bidi w:val="1"/>
      </w:pPr>
      <w:r>
        <w:rPr>
          <w:rFonts w:ascii="Arial" w:hAnsi="Arial"/>
          <w:b w:val="0"/>
          <w:i w:val="0"/>
          <w:color w:val="14573A"/>
          <w:sz w:val="40"/>
          <w:rFonts w:ascii="Arial" w:hAnsi="Arial" w:cs="Traditional Arabic"/>
        </w:rPr>
        <w:t>وثيقة معمارية البرمجيات (Software Architecture Document - SAD)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منصة فكرة (Fikra) — جامعة بيشة | University of Bisha</w:t>
      </w:r>
    </w:p>
    <w:p>
      <w:pPr>
        <w:spacing w:before="40" w:after="80"/>
        <w:jc w:val="right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الإصدار: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2.0 |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التاريخ: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سبتمبر 2026 |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المعايير المتبعة: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IEEE 1471 / ISO/IEC/IEEE 42010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📑 جدول المحتويات (Table of Contents)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1.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مقدمة وأهداف المعمارية (Introduction &amp; Goals)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2.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الأنماط والمبادئ المعمارية (Architectural Patterns &amp; Principles)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3.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المخطط المعماري عالي المستوى (High-Level Architecture Overview)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4.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تفكيك المكونات البرمجية (Component Decomposition)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5.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معمارية محرك الذكاء الاصطناعي ومعالجة اللغات الطبيعية (AI &amp; NLP Pipeline)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6.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معمارية المزامنة وتدفق البيانات (Data Synchronization &amp; Flow Architecture)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7.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الأمان وإدارة الهوية (Security &amp; Identity Architecture)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8.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الخصائص غير الوظيفية (Non-Functional Requirements)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9. </w:t>
      </w: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>معمارية النشر والتوزيع (Deployment &amp; Infrastructure Architecture)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1. مقدمة وأهداف المعمارية (Introduction &amp; Goals)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تم تصميم البنية المعمارية لمنصة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فكرة (Fikra)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لتوفير نظام خفيف الوزن وعالي الاستجابة ومنعدم زمن التأخير (Zero-latency) لإدارة الأفكار المؤسسية والابتكارية في بيئة جامعة بيشة الأكاديمية.</w:t>
      </w: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الأهداف الاستراتيجية للمعمارية: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الاستقلالية وعدم الاعتمادية القسرية على السيرفرات: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إمكانية تشغيل المنصة فورياً على متصفح العميل (Zero Build Tooling Dependency).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المعالجة اللغوية المباشرة (Client-Side Real-time NLP):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تنفيذ خوارزميات الذكاء الاصطناعي للتشابه الدلالي محلياً دون الحاجة لانتظار استجابة شبكية لكل كلمة.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التخزين الهجين والمزامنة السحابية (Hybrid Local + Cloud Persistence):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دعم العمل دون اتصال (Offline-first) مع المزامنة التلقائية لبيانات PostgreSQL عبر Supabase.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2. الأنماط والمبادئ المعمارية (Architectural Patterns &amp; Principles)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1.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نمط التطبيق وحيد الصفحة (Single Page Application - SPA):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هيكل مكونات تفاعلي يعتمد على Vanilla JavaScript الحديث (ES6+)، مع توجيه ديناميكي للأقسام وتبديل شاشات سلس دون إعادة تحميل الصفحة (DOM Replacement Pattern).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2.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فصل المسؤوليات (Separation of Concerns - SoC):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فصل طبقة العرض والواجهات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app.js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index.html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css/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 عن إدارة الحالة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state.js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 وعن الخدمات الخارجية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supabase.js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ai-engine.js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speech.js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).</w:t>
      </w:r>
    </w:p>
    <w:p>
      <w:pPr>
        <w:spacing w:before="20" w:after="40"/>
        <w:jc w:val="right"/>
        <w:bidi w:val="1"/>
      </w:pPr>
      <w:r>
        <w:rPr>
          <w:rFonts w:ascii="Calibri" w:hAnsi="Calibri"/>
          <w:b/>
          <w:i w:val="0"/>
          <w:color w:val="14573A"/>
          <w:sz w:val="22"/>
          <w:rFonts w:ascii="Calibri" w:hAnsi="Calibri" w:cs="Traditional Arabic"/>
        </w:rPr>
        <w:t xml:space="preserve">3. </w:t>
      </w: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نموذج مصدر الحقيقة الموحد (Single Source of Truth - SSOT):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كائن الحالة العام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State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هو المرجع الوحيد لبيانات التطبيق أثناء التشغيل، مع آليات حفظ ثنائية (Storage &amp; Cloud).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3. المخطط المعماري عالي المستوى (High-Level Architecture Overview)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[MERMAID]</w:t>
              <w:br/>
            </w: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Traditional Arabic"/>
              </w:rPr>
              <w:t>graph TB</w:t>
              <w:br/>
              <w:t xml:space="preserve">    subgraph PresentationLayer [Presentation &amp; UI Layer]</w:t>
              <w:br/>
              <w:t xml:space="preserve">        HTML[index.html - Semantic UI &amp; Bisha Theme]</w:t>
              <w:br/>
              <w:t xml:space="preserve">        CSS[style.css &amp; components.css]</w:t>
              <w:br/>
              <w:t xml:space="preserve">        I18N[i18n.js - Bilingual RTL/LTR Engine]</w:t>
              <w:br/>
              <w:t xml:space="preserve">        UIModules[app.js, ideas.js, committee.js, admin.js, charts.js]</w:t>
              <w:br/>
              <w:t xml:space="preserve">    end</w:t>
              <w:br/>
              <w:br/>
              <w:t xml:space="preserve">    subgraph ServiceLayer [Core Logic &amp; Services Layer]</w:t>
              <w:br/>
              <w:t xml:space="preserve">        AuthSvc[auth.js - RBAC &amp; Session Manager]</w:t>
              <w:br/>
              <w:t xml:space="preserve">        AISvc[ai-engine.js - Arabic NLP &amp; Semantic Matcher]</w:t>
              <w:br/>
              <w:t xml:space="preserve">        SpeechSvc[speech.js - Web Speech Speech-To-Text]</w:t>
              <w:br/>
              <w:t xml:space="preserve">        ChartSvc[Chart.js - Visual KPIs &amp; Distribution]</w:t>
              <w:br/>
              <w:t xml:space="preserve">    end</w:t>
              <w:br/>
              <w:br/>
              <w:t xml:space="preserve">    subgraph StateLayer [State &amp; Persistence Layer]</w:t>
              <w:br/>
              <w:t xml:space="preserve">        StateStore[state.js - Reactive State &amp; In-Memory Store]</w:t>
              <w:br/>
              <w:t xml:space="preserve">        LocalStore[(LocalStorage / Offline Cache)]</w:t>
              <w:br/>
              <w:t xml:space="preserve">    end</w:t>
              <w:br/>
              <w:br/>
              <w:t xml:space="preserve">    subgraph CloudLayer [Cloud &amp; Integration Layer]</w:t>
              <w:br/>
              <w:t xml:space="preserve">        SupaClient[supabase.js - REST &amp; Realtime Client]</w:t>
              <w:br/>
              <w:t xml:space="preserve">        SupaDB[(Supabase PostgreSQL Cloud DB)]</w:t>
              <w:br/>
              <w:t xml:space="preserve">        GeminiAPI[(Google Gemini Pro AI - Optional API)]</w:t>
              <w:br/>
              <w:t xml:space="preserve">    end</w:t>
              <w:br/>
              <w:br/>
              <w:t xml:space="preserve">    PresentationLayer --&gt; ServiceLayer</w:t>
              <w:br/>
              <w:t xml:space="preserve">    ServiceLayer --&gt; StateLayer</w:t>
              <w:br/>
              <w:t xml:space="preserve">    StateLayer &lt;--&gt; LocalStore</w:t>
              <w:br/>
              <w:t xml:space="preserve">    StateLayer &lt;--&gt; SupaClient</w:t>
              <w:br/>
              <w:t xml:space="preserve">    SupaClient &lt;--&gt; SupaDB</w:t>
              <w:br/>
              <w:t xml:space="preserve">    AISvc -.-&gt; GeminiAPI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4. تفكيك المكونات البرمجية (Component Decomposition)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4573A"/>
          <w:left w:val="none"/>
          <w:right w:val="none"/>
          <w:insideH w:val="single" w:sz="4" w:space="0" w:color="E2E8F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المكون (Component)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الملف المسؤول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الدور والمسؤولية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إدارة الحالة (State Manager)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js/state.js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إدارة التخزين، التهيئة الأولية للبيانات، إدارة مصفوفات الكليات والمستخدمين والأفكار وتتبع التغييرات.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محرك الذكاء الاصطناعي (AI Engine)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js/ai-engine.js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المعالجة المسبقة للنصوص العربية والإنجليزية، حساب التشابه، اقتراح الوسوم، وتصنيف الأفكار.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إدارة المصادقة والأدوار (Auth &amp; RBAC)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js/auth.js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إدارة تسجيل الدخول، التحقق من كلمات المرور، وإدارة صلاحيات الموظف والمحكم والمدير.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بوابة الموظف والأفكار (Ideas Portal)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js/ideas.js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إدارة دورة حياة الفكرة: الإدخال، التعديل، التصويت، التعليقات، وتصدير PDF.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بوابة التحكيم (Committee Portal)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js/committee.js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مصفوفة التقييم ذات المعايير الرباعية، احتساب الدرجات الموزونة، وتدوين القرارات الرسمية.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بوابة إدارة النظام (Admin Portal)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js/admin.js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إدارة الهيكل المؤسسي لجامعة بيشة، القوائم الديناميكية، إعدادات الذكاء الاصطناعي، وإدارة المستخدمين.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التحليلات والمؤشرات (Analytics)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js/charts.js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رسم المخططات البيانية لمعدلات القبول، التوزيع الجغرافي حسب الكليات، وتصدير بيانات CSV.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التعريب والتدويل (I18N Engine)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js/i18n.js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إدارة قاموس المصطلحات الثنائي (عربي/إنجليزي)، والتعامل مع اتجاه الصفحة (RTL/LTR).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التكامل السحابي (Supabase Client)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js/supabase.js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التواصل مع PostgreSQL وتطبيق تحويلات الحقول (CamelCase &lt;-&gt; Snake_Case).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5. معمارية محرك الذكاء الاصطناعي ومعالجة اللغات الطبيعية (AI &amp; NLP Pipeline)</w:t>
      </w:r>
    </w:p>
    <w:p>
      <w:pPr>
        <w:spacing w:before="40" w:after="80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يعمل محرك الذكاء الاصطناعي المدمج عبر خط معالجة (Pipeline) متقدم خماسي المراحل: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[MERMAID]</w:t>
              <w:br/>
            </w: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Traditional Arabic"/>
              </w:rPr>
              <w:t>flowchart LR</w:t>
              <w:br/>
              <w:t xml:space="preserve">    In[النص المدخل] --&gt; Norm[1. المعالجة القياسية والتطبيع Normalization]</w:t>
              <w:br/>
              <w:t xml:space="preserve">    Norm --&gt; Tok[2. التقطيع واستبعاد كلمات التوقف Tokenization]</w:t>
              <w:br/>
              <w:t xml:space="preserve">    Tok --&gt; Jac[3. مطابقة المعامل الجاكاردي Jaccard Overlap]</w:t>
              <w:br/>
              <w:t xml:space="preserve">    Tok --&gt; Stem[4. استخراج الجذور والمطابقة الجزئية Root Match]</w:t>
              <w:br/>
              <w:t xml:space="preserve">    Tok --&gt; Sub[5. مطابقة العناوين التراكبية Substring Bonus]</w:t>
              <w:br/>
              <w:t xml:space="preserve">    Jac &amp; Stem &amp; Sub --&gt; Score[حساب نسبة التشابه الإجمالية Similarity Score %]</w:t>
            </w:r>
          </w:p>
        </w:tc>
      </w:tr>
    </w:tbl>
    <w:p>
      <w:pPr>
        <w:spacing w:after="120"/>
      </w:pPr>
    </w:p>
    <w:p>
      <w:pPr>
        <w:spacing w:before="200" w:after="60"/>
        <w:jc w:val="right"/>
        <w:bidi w:val="1"/>
      </w:pPr>
      <w:r>
        <w:rPr>
          <w:rFonts w:ascii="Arial" w:hAnsi="Arial"/>
          <w:b w:val="0"/>
          <w:i w:val="0"/>
          <w:color w:val="C5A059"/>
          <w:sz w:val="25"/>
          <w:rFonts w:ascii="Arial" w:hAnsi="Arial" w:cs="Traditional Arabic"/>
        </w:rPr>
        <w:t>الصيغة الرياضية لحساب التشابه (Similarity Metric Formula):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$$Score = \min\left(1.0, \frac{|Tokens_{query} \cap Tokens_{doc}|}{|Tokens_{query} \cup Tokens_{doc}|} + Bonus_{title} + Bonus_{tags}\right)$$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Normalization: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إزالة التشكيل، إزالة التطويل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ـ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)، توحيد الألفات (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أ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إ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,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آ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-&gt; </w:t>
      </w:r>
      <w:r>
        <w:rPr>
          <w:rFonts w:ascii="Consolas" w:hAnsi="Consolas"/>
          <w:b/>
          <w:i w:val="0"/>
          <w:color w:val="14573A"/>
          <w:sz w:val="20"/>
          <w:rFonts w:ascii="Consolas" w:hAnsi="Consolas" w:cs="Traditional Arabic"/>
        </w:rPr>
        <w:t>ا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>)، والياء والتاء المربوطة.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Stopwords Removal: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استبعاد أكثر من 50 حرف جر وضمير وأداة وصل عربية وإنجليزية.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Real-time Trigger: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يُطلق المحرك عملية الفحص آلياً بمجرد تجاوز مدخلات المستخدم حاجز الـ 3 كلمات بدون أي تجميد لواجهة المستخدم (Debounced Event Handling).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6. معمارية المزامنة وتدفق البيانات (Data Synchronization &amp; Flow Architecture)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i w:val="0"/>
                <w:color w:val="14573A"/>
                <w:sz w:val="18"/>
                <w:rFonts w:ascii="Consolas" w:hAnsi="Consolas" w:cs="Traditional Arabic"/>
              </w:rPr>
              <w:t>[MERMAID]</w:t>
              <w:br/>
            </w: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Traditional Arabic"/>
              </w:rPr>
              <w:t>sequenceDiagram</w:t>
              <w:br/>
              <w:t xml:space="preserve">    autonumber</w:t>
              <w:br/>
              <w:t xml:space="preserve">    participant UI as واجهة المستخدم</w:t>
              <w:br/>
              <w:t xml:space="preserve">    participant State as كائن الحالة State</w:t>
              <w:br/>
              <w:t xml:space="preserve">    participant Local as LocalStorage</w:t>
              <w:br/>
              <w:t xml:space="preserve">    participant Supa as خادم Supabase</w:t>
              <w:br/>
              <w:t xml:space="preserve">    </w:t>
              <w:br/>
              <w:t xml:space="preserve">    UI-&gt;&gt;State: إضافة / تعديل فكرة أو تقييم</w:t>
              <w:br/>
              <w:t xml:space="preserve">    State-&gt;&gt;Local: حفظ فوري محلياً (Zero Delay)</w:t>
              <w:br/>
              <w:t xml:space="preserve">    State-&gt;&gt;Supa: استدعاء دالة المزامنة السحابية غير المتزامنة (Async Cloud Upsert)</w:t>
              <w:br/>
              <w:t xml:space="preserve">    alt الاتصال السحابي متاح</w:t>
              <w:br/>
              <w:t xml:space="preserve">        Supa--&gt;&gt;State: نجاح الحفظ السحابي (HTTP 200 OK)</w:t>
              <w:br/>
              <w:t xml:space="preserve">        State--&gt;&gt;UI: تحديث مؤشر المزامنة السحابية (أخضر)</w:t>
              <w:br/>
              <w:t xml:space="preserve">    else تعذر الاتصال أو انقطاع الشبكة</w:t>
              <w:br/>
              <w:t xml:space="preserve">        Supa--xState: انقطاع الاتصال (Network Error)</w:t>
              <w:br/>
              <w:t xml:space="preserve">        State--&gt;&gt;UI: تحويل مؤشر المزامنة إلى (أوفلاين) مع الاحتفاظ بالبيانات محلياً</w:t>
              <w:br/>
              <w:t xml:space="preserve">    end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7. الأمان وإدارة الهوية (Security &amp; Identity Architecture)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حماية البيانات المنقولة: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اتصال آمن عبر بروتوكول HTTPS/TLS 1.3 لكافة طلبات السحابة والمكتبات الخارجية.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التحكم بالوصول على مستوى الوظائف (Function-Level RBAC):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فحص صلاحية المستخدم قبل معالجة أي إجراء حساس (مثل التحكيم أو تعديل الإدارات) داخل الكود المصدري لمنع التلاعب عبر أدوات المطورين.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أمان جلسات العمل: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التحقق من صلاحية الجلسة عند كل تنقل، وتشفير بيانات الدخول في المتصفح.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8. الخصائص غير الوظيفية (Non-Functional Requirements)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4573A"/>
          <w:left w:val="none"/>
          <w:right w:val="none"/>
          <w:insideH w:val="single" w:sz="4" w:space="0" w:color="E2E8F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الخاصية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المعيار المستهدف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4573A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  <w:rFonts w:ascii="Calibri" w:hAnsi="Calibri" w:cs="Traditional Arabic"/>
              </w:rPr>
              <w:t>كيفية التحقق والتنفيذ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زمن الاستجابة (Performance)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أقل من 50 مللي ثانية للتنقل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استخدام Pure Vanilla JS خفيف الوزن بدون أطر عمل ضخمة.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سرعة معالجة الـ AI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فحص التشابه في أقل من 15 مللي ثانية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معالجة النصوص محلياً في ذاكرة المتصفح (In-Memory Token Hashing).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إمكانية الوصول (Accessibility)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معايير WCAG 2.1 AA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تباين ألوان عالي معتمد لجامعة بيشة، ودعم قارئات الشاشة والاتجاهين RTL/LTR.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20"/>
                <w:rFonts w:ascii="Calibri" w:hAnsi="Calibri" w:cs="Traditional Arabic"/>
              </w:rPr>
              <w:t>التوافرية (Availability)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99.9%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  <w:jc w:val="right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  <w:rFonts w:ascii="Calibri" w:hAnsi="Calibri" w:cs="Traditional Arabic"/>
              </w:rPr>
              <w:t>استضافة ثابتة على شبكة حافة (Edge CDN) مع مرونة العمل دون اتصال.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b w:val="0"/>
          <w:i w:val="0"/>
          <w:color w:val="C5A059"/>
          <w:sz w:val="20"/>
          <w:rFonts w:ascii="Calibri" w:hAnsi="Calibri" w:cs="Traditional Arabi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  <w:jc w:val="right"/>
        <w:bidi w:val="1"/>
      </w:pPr>
      <w:r>
        <w:rPr>
          <w:rFonts w:ascii="Arial" w:hAnsi="Arial"/>
          <w:b w:val="0"/>
          <w:i w:val="0"/>
          <w:color w:val="14573A"/>
          <w:sz w:val="30"/>
          <w:rFonts w:ascii="Arial" w:hAnsi="Arial" w:cs="Traditional Arabic"/>
        </w:rPr>
        <w:t>9. معمارية النشر والتوزيع (Deployment &amp; Infrastructure Architecture)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استضافة الواجهة الأمامية: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يتم استضافة التطبيق كـ Static Assets على GitHub Pages أو Cloudflare Pages أو خوادم جامعة بيشة الداخلية (Nginx / IIS).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قاعدة البيانات الخلفية: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Supabase Database (PostgreSQL 15+) مع محرك استعلامات RESTful ومقبس WebSocket مباشر.</w:t>
      </w:r>
    </w:p>
    <w:p>
      <w:pPr>
        <w:pStyle w:val="ListBullet"/>
        <w:spacing w:before="20" w:after="40"/>
        <w:bidi w:val="1"/>
      </w:pPr>
      <w:r>
        <w:rPr>
          <w:rFonts w:ascii="Calibri" w:hAnsi="Calibri"/>
          <w:b/>
          <w:i w:val="0"/>
          <w:color w:val="1E293B"/>
          <w:sz w:val="22"/>
          <w:rFonts w:ascii="Calibri" w:hAnsi="Calibri" w:cs="Traditional Arabic"/>
        </w:rPr>
        <w:t>المكتبات المساندة:</w:t>
      </w:r>
      <w:r>
        <w:rPr>
          <w:rFonts w:ascii="Calibri" w:hAnsi="Calibri"/>
          <w:b w:val="0"/>
          <w:i w:val="0"/>
          <w:color w:val="1E293B"/>
          <w:sz w:val="22"/>
          <w:rFonts w:ascii="Calibri" w:hAnsi="Calibri" w:cs="Traditional Arabic"/>
        </w:rPr>
        <w:t xml:space="preserve"> استدعاء مكتبات Chart.js و MDI Icons و Supabase JS عبر شبكات توزيع المحتوى الآمنة (CDNs) مع آليات Fallback محلية.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8"/>
        <w:rFonts w:ascii="Calibri" w:hAnsi="Calibri" w:cs="Traditional Arabic"/>
      </w:rPr>
      <w:t>منصة إدارة الابتكار والأفكار المؤسسية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4748B"/>
        <w:sz w:val="18"/>
        <w:rFonts w:ascii="Calibri" w:hAnsi="Calibri" w:cs="Traditional Arabic"/>
      </w:rPr>
      <w:t>جامعة بيشة | University of Bisha — منصة فكرة (Fikra)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