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pPr>
        <w:pStyle w:val="Heading1"/>
      </w:pPr>
      <w:r>
        <w:t>0.2.084</w:t>
      </w:r>
    </w:p>
    <w:p>
      <w:r>
        <w:t>1.总览等图标建议放大，现在的图标太小了</w:t>
      </w:r>
    </w:p>
    <w:p>
      <w:pPr>
        <w:jc w:val="center"/>
      </w:pPr>
      <w:r>
        <w:drawing>
          <wp:inline distT="0" distB="0" distL="0" distR="0">
            <wp:extent cx="1181100" cy="4257675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2.建议侧拉框不在左侧栏中，而是在界面上，让应用的图标在这列图标的最上方</w:t>
      </w:r>
    </w:p>
    <w:p>
      <w:pPr>
        <w:jc w:val="center"/>
      </w:pPr>
      <w:r>
        <w:drawing>
          <wp:inline distT="0" distB="0" distL="0" distR="0">
            <wp:extent cx="3448050" cy="47244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3.</w:t>
      </w:r>
      <w:hyperlink r:id="rId6" w:history="1">
        <w:r>
          <w:rPr>
            <w:rStyle w:val="Hyperlink"/>
            <w:u w:val="single"/>
          </w:rPr>
          <w:t>隐私与数据管理（zh-CN / en-US）</w:t>
        </w:r>
      </w:hyperlink>
      <w:r>
        <w:t>的 技术基础即图中所圈内容应该在全文最后，放在箭头所指向的地方</w:t>
      </w:r>
    </w:p>
    <w:p>
      <w:pPr>
        <w:jc w:val="both"/>
      </w:pPr>
      <w:r>
        <w:drawing>
          <wp:inline distT="0" distB="0" distL="0" distR="0">
            <wp:extent cx="5724525" cy="1933575"/>
            <wp:docPr id="3" name="Picture 3"/>
            <a:graphic>
              <a:graphicData uri="http://schemas.openxmlformats.org/drawingml/2006/picture">
                <pic:pic>
                  <pic:nvPicPr>
                    <pic:cNvPr id="3" name="Picture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4.智能守护的收件人于邮箱服务器中，没有对输入的邮箱的格式进行校验，邮箱中含有中文也可保存成功</w:t>
      </w:r>
    </w:p>
    <w:p>
      <w:pPr>
        <w:jc w:val="left"/>
      </w:pPr>
      <w:r>
        <w:drawing>
          <wp:inline distT="0" distB="0" distL="0" distR="0">
            <wp:extent cx="4324350" cy="4076700"/>
            <wp:docPr id="4" name="Picture 4"/>
            <a:graphic>
              <a:graphicData uri="http://schemas.openxmlformats.org/drawingml/2006/picture">
                <pic:pic>
                  <pic:nvPicPr>
                    <pic:cNvPr id="4" name="Picture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5.完整检测部分的批量顺序检测，当所有磁盘都在等待中时，点击这个“全选可用磁盘‘无响应，只有点击的抖动反馈，建议此时将按键置灰不可点击</w:t>
      </w:r>
    </w:p>
    <w:p>
      <w:pPr>
        <w:jc w:val="center"/>
      </w:pPr>
      <w:r>
        <w:drawing>
          <wp:inline distT="0" distB="0" distL="0" distR="0">
            <wp:extent cx="5724525" cy="5400675"/>
            <wp:docPr id="5" name="Picture 5"/>
            <a:graphic>
              <a:graphicData uri="http://schemas.openxmlformats.org/drawingml/2006/picture">
                <pic:pic>
                  <pic:nvPicPr>
                    <pic:cNvPr id="5" name="Picture 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6. 建议批量顺序检测中，等待开始的磁盘也可以有一个拖拽排序的功能，而不是现在必须退出等待重新排序</w:t>
      </w:r>
    </w:p>
    <w:p>
      <w:pPr>
        <w:jc w:val="both"/>
      </w:pPr>
      <w:r>
        <w:drawing>
          <wp:inline distT="0" distB="0" distL="0" distR="0">
            <wp:extent cx="5724525" cy="2895600"/>
            <wp:docPr id="6" name="Picture 6"/>
            <a:graphic>
              <a:graphicData uri="http://schemas.openxmlformats.org/drawingml/2006/picture">
                <pic:pic>
                  <pic:nvPicPr>
                    <pic:cNvPr id="6" name="Picture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7.建议这种悬浮显示的弹窗不用默认黑色框，可以参考图2 中圈中的边框时有圆角的，这样更好看一些</w:t>
      </w:r>
    </w:p>
    <w:p>
      <w:pPr>
        <w:jc w:val="both"/>
      </w:pPr>
      <w:r>
        <w:drawing>
          <wp:inline distT="0" distB="0" distL="0" distR="0">
            <wp:extent cx="5724525" cy="1609725"/>
            <wp:docPr id="7" name="Picture 7"/>
            <a:graphic>
              <a:graphicData uri="http://schemas.openxmlformats.org/drawingml/2006/picture">
                <pic:pic>
                  <pic:nvPicPr>
                    <pic:cNvPr id="7" name="Picture 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5724525" cy="2790825"/>
            <wp:docPr id="8" name="Picture 8"/>
            <a:graphic>
              <a:graphicData uri="http://schemas.openxmlformats.org/drawingml/2006/picture">
                <pic:pic>
                  <pic:nvPicPr>
                    <pic:cNvPr id="8" name="Picture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8.建议在磁盘选择的下拉框分为10个或15个展示，多的用下拉框拖动，避免用户连接大量USB导致选择磁盘的界面过长甚至直接达到页面底部</w:t>
      </w:r>
    </w:p>
    <w:p>
      <w:pPr>
        <w:jc w:val="center"/>
      </w:pPr>
      <w:r>
        <w:drawing>
          <wp:inline distT="0" distB="0" distL="0" distR="0">
            <wp:extent cx="5724525" cy="3819525"/>
            <wp:docPr id="9" name="Picture 9"/>
            <a:graphic>
              <a:graphicData uri="http://schemas.openxmlformats.org/drawingml/2006/picture">
                <pic:pic>
                  <pic:nvPicPr>
                    <pic:cNvPr id="9" name="Picture 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9. 建议新打开的弹窗居中展示而不是紧贴浏览器的最下方，比如弹窗拖动到红圈内</w:t>
      </w:r>
    </w:p>
    <w:p>
      <w:pPr>
        <w:jc w:val="both"/>
      </w:pPr>
      <w:r>
        <w:drawing>
          <wp:inline distT="0" distB="0" distL="0" distR="0">
            <wp:extent cx="5724525" cy="2809875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10.完整检测的正下方，右边存在大量空白但是句子换行了</w:t>
      </w:r>
    </w:p>
    <w:p>
      <w:pPr>
        <w:jc w:val="both"/>
      </w:pPr>
      <w:r>
        <w:drawing>
          <wp:inline distT="0" distB="0" distL="0" distR="0">
            <wp:extent cx="5724525" cy="2771775"/>
            <wp:docPr id="11" name="Picture 11"/>
            <a:graphic>
              <a:graphicData uri="http://schemas.openxmlformats.org/drawingml/2006/picture">
                <pic:pic>
                  <pic:nvPicPr>
                    <pic:cNvPr id="11" name="Picture 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11.检测已阻止，测试过程中发现这个状态，建议给出这个应用的相关的状态说明，即写好需求文档等，根据需求文档编写帮助文档，避免用户像测试者一样出现不理解的状态、功能而无处参考，比如检测已阻止的状态的结果无法导出报表等，这个是否定义的就是检测已阻止的状态无法导出报表呢，还是说检测已阻止的状态也能够导出报表，这是bug</w:t>
      </w:r>
    </w:p>
    <w:p>
      <w:pPr>
        <w:jc w:val="center"/>
      </w:pPr>
      <w:r>
        <w:drawing>
          <wp:inline distT="0" distB="0" distL="0" distR="0">
            <wp:extent cx="3295650" cy="1009650"/>
            <wp:docPr id="12" name="Picture 12"/>
            <a:graphic>
              <a:graphicData uri="http://schemas.openxmlformats.org/drawingml/2006/picture">
                <pic:pic>
                  <pic:nvPicPr>
                    <pic:cNvPr id="12" name="Picture 1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0" distR="0">
            <wp:extent cx="5724525" cy="828675"/>
            <wp:docPr id="13" name="Picture 13"/>
            <a:graphic>
              <a:graphicData uri="http://schemas.openxmlformats.org/drawingml/2006/picture">
                <pic:pic>
                  <pic:nvPicPr>
                    <pic:cNvPr id="13" name="Picture 1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12.在完整检测的块设备方格的部分，滚动鼠标滑轮，发现页面回前后变化，但是不能灵活到最后一页，建议完善该功能，实现鼠标的滚轮转动可以到任意一页</w:t>
      </w:r>
    </w:p>
    <w:p>
      <w:pPr>
        <w:jc w:val="both"/>
      </w:pPr>
      <w:r>
        <w:drawing>
          <wp:inline distT="0" distB="0" distL="0" distR="0">
            <wp:extent cx="5724525" cy="2314575"/>
            <wp:docPr id="14" name="Picture 14"/>
            <a:graphic>
              <a:graphicData uri="http://schemas.openxmlformats.org/drawingml/2006/picture">
                <pic:pic>
                  <pic:nvPicPr>
                    <pic:cNvPr id="14" name="Picture 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13.每次执行立即检测后，定时磁盘健康检测的时间就会变化，即定时健康检测的时间时手动执行立即检测的后几个小时或几天，这个定时少了给用户自己定准确的时间、周期天数检测的选择，建议参考系统内定时任务制定</w:t>
      </w:r>
    </w:p>
    <w:p>
      <w:pPr>
        <w:jc w:val="both"/>
      </w:pPr>
      <w:r>
        <w:drawing>
          <wp:inline distT="0" distB="0" distL="0" distR="0">
            <wp:extent cx="5724525" cy="2457450"/>
            <wp:docPr id="15" name="Picture 15"/>
            <a:graphic>
              <a:graphicData uri="http://schemas.openxmlformats.org/drawingml/2006/picture">
                <pic:pic>
                  <pic:nvPicPr>
                    <pic:cNvPr id="15" name="Picture 1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%5."/>
      <w:lvlJc w:val="left"/>
      <w:pPr>
        <w:ind w:left="1800" w:hanging="360"/>
      </w:pPr>
    </w:lvl>
    <w:lvl w:ilvl="5">
      <w:start w:val="1"/>
      <w:numFmt w:val="lowerRoman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◦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◦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2">
    <w:lvl w:ilvl="0">
      <w:start w:val="1"/>
      <w:numFmt w:val="bullet"/>
      <w:lvlText w:val="☐"/>
      <w:lvlJc w:val="left"/>
      <w:pPr>
        <w:ind w:left="360" w:hanging="360"/>
      </w:pPr>
      <w:rPr>
        <w:rFonts w:ascii="MS Gothic" w:hAnsi="MS Gothic" w:hint="default"/>
      </w:rPr>
    </w:lvl>
    <w:lvl w:ilvl="1">
      <w:start w:val="1"/>
      <w:numFmt w:val="bullet"/>
      <w:lvlText w:val="☐"/>
      <w:lvlJc w:val="left"/>
      <w:pPr>
        <w:ind w:left="720" w:hanging="360"/>
      </w:pPr>
      <w:rPr>
        <w:rFonts w:ascii="MS Gothic" w:hAnsi="MS Gothic" w:hint="default"/>
      </w:rPr>
    </w:lvl>
    <w:lvl w:ilvl="2">
      <w:start w:val="1"/>
      <w:numFmt w:val="bullet"/>
      <w:lvlText w:val="☐"/>
      <w:lvlJc w:val="left"/>
      <w:pPr>
        <w:ind w:left="1080" w:hanging="360"/>
      </w:pPr>
      <w:rPr>
        <w:rFonts w:ascii="MS Gothic" w:hAnsi="MS Gothic" w:hint="default"/>
      </w:rPr>
    </w:lvl>
    <w:lvl w:ilvl="3">
      <w:start w:val="1"/>
      <w:numFmt w:val="bullet"/>
      <w:lvlText w:val="☐"/>
      <w:lvlJc w:val="left"/>
      <w:pPr>
        <w:ind w:left="1440" w:hanging="360"/>
      </w:pPr>
      <w:rPr>
        <w:rFonts w:ascii="MS Gothic" w:hAnsi="MS Gothic" w:hint="default"/>
      </w:rPr>
    </w:lvl>
    <w:lvl w:ilvl="4">
      <w:start w:val="1"/>
      <w:numFmt w:val="bullet"/>
      <w:lvlText w:val="☐"/>
      <w:lvlJc w:val="left"/>
      <w:pPr>
        <w:ind w:left="1800" w:hanging="360"/>
      </w:pPr>
      <w:rPr>
        <w:rFonts w:ascii="MS Gothic" w:hAnsi="MS Gothic" w:hint="default"/>
      </w:rPr>
    </w:lvl>
    <w:lvl w:ilvl="5">
      <w:start w:val="1"/>
      <w:numFmt w:val="bullet"/>
      <w:lvlText w:val="☐"/>
      <w:lvlJc w:val="left"/>
      <w:pPr>
        <w:ind w:left="2160" w:hanging="360"/>
      </w:pPr>
      <w:rPr>
        <w:rFonts w:ascii="MS Gothic" w:hAnsi="MS Gothic" w:hint="default"/>
      </w:rPr>
    </w:lvl>
    <w:lvl w:ilvl="6">
      <w:start w:val="1"/>
      <w:numFmt w:val="bullet"/>
      <w:lvlText w:val="☐"/>
      <w:lvlJc w:val="left"/>
      <w:pPr>
        <w:ind w:left="2520" w:hanging="360"/>
      </w:pPr>
      <w:rPr>
        <w:rFonts w:ascii="MS Gothic" w:hAnsi="MS Gothic" w:hint="default"/>
      </w:rPr>
    </w:lvl>
    <w:lvl w:ilvl="7">
      <w:start w:val="1"/>
      <w:numFmt w:val="bullet"/>
      <w:lvlText w:val="☐"/>
      <w:lvlJc w:val="left"/>
      <w:pPr>
        <w:ind w:left="2880" w:hanging="360"/>
      </w:pPr>
      <w:rPr>
        <w:rFonts w:ascii="MS Gothic" w:hAnsi="MS Gothic" w:hint="default"/>
      </w:rPr>
    </w:lvl>
    <w:lvl w:ilvl="8">
      <w:start w:val="1"/>
      <w:numFmt w:val="bullet"/>
      <w:lvlText w:val="☐"/>
      <w:lvlJc w:val="left"/>
      <w:pPr>
        <w:ind w:left="3240" w:hanging="360"/>
      </w:pPr>
      <w:rPr>
        <w:rFonts w:ascii="MS Gothic" w:hAnsi="MS Gothic" w:hint="default"/>
      </w:rPr>
    </w:lvl>
  </w:abstractNum>
  <w:abstractNum w:abstractNumId="3">
    <w:lvl w:ilvl="0">
      <w:start w:val="1"/>
      <w:numFmt w:val="bullet"/>
      <w:lvlText w:val="☑"/>
      <w:lvlJc w:val="left"/>
      <w:pPr>
        <w:ind w:left="360" w:hanging="360"/>
      </w:pPr>
      <w:rPr>
        <w:rFonts w:ascii="MS Gothic" w:hAnsi="MS Gothic" w:hint="default"/>
      </w:rPr>
    </w:lvl>
    <w:lvl w:ilvl="1">
      <w:start w:val="1"/>
      <w:numFmt w:val="bullet"/>
      <w:lvlText w:val="☑"/>
      <w:lvlJc w:val="left"/>
      <w:pPr>
        <w:ind w:left="720" w:hanging="360"/>
      </w:pPr>
      <w:rPr>
        <w:rFonts w:ascii="MS Gothic" w:hAnsi="MS Gothic" w:hint="default"/>
      </w:rPr>
    </w:lvl>
    <w:lvl w:ilvl="2">
      <w:start w:val="1"/>
      <w:numFmt w:val="bullet"/>
      <w:lvlText w:val="☑"/>
      <w:lvlJc w:val="left"/>
      <w:pPr>
        <w:ind w:left="1080" w:hanging="360"/>
      </w:pPr>
      <w:rPr>
        <w:rFonts w:ascii="MS Gothic" w:hAnsi="MS Gothic" w:hint="default"/>
      </w:rPr>
    </w:lvl>
    <w:lvl w:ilvl="3">
      <w:start w:val="1"/>
      <w:numFmt w:val="bullet"/>
      <w:lvlText w:val="☑"/>
      <w:lvlJc w:val="left"/>
      <w:pPr>
        <w:ind w:left="1440" w:hanging="360"/>
      </w:pPr>
      <w:rPr>
        <w:rFonts w:ascii="MS Gothic" w:hAnsi="MS Gothic" w:hint="default"/>
      </w:rPr>
    </w:lvl>
    <w:lvl w:ilvl="4">
      <w:start w:val="1"/>
      <w:numFmt w:val="bullet"/>
      <w:lvlText w:val="☑"/>
      <w:lvlJc w:val="left"/>
      <w:pPr>
        <w:ind w:left="1800" w:hanging="360"/>
      </w:pPr>
      <w:rPr>
        <w:rFonts w:ascii="MS Gothic" w:hAnsi="MS Gothic" w:hint="default"/>
      </w:rPr>
    </w:lvl>
    <w:lvl w:ilvl="5">
      <w:start w:val="1"/>
      <w:numFmt w:val="bullet"/>
      <w:lvlText w:val="☑"/>
      <w:lvlJc w:val="left"/>
      <w:pPr>
        <w:ind w:left="2160" w:hanging="360"/>
      </w:pPr>
      <w:rPr>
        <w:rFonts w:ascii="MS Gothic" w:hAnsi="MS Gothic" w:hint="default"/>
      </w:rPr>
    </w:lvl>
    <w:lvl w:ilvl="6">
      <w:start w:val="1"/>
      <w:numFmt w:val="bullet"/>
      <w:lvlText w:val="☑"/>
      <w:lvlJc w:val="left"/>
      <w:pPr>
        <w:ind w:left="2520" w:hanging="360"/>
      </w:pPr>
      <w:rPr>
        <w:rFonts w:ascii="MS Gothic" w:hAnsi="MS Gothic" w:hint="default"/>
      </w:rPr>
    </w:lvl>
    <w:lvl w:ilvl="7">
      <w:start w:val="1"/>
      <w:numFmt w:val="bullet"/>
      <w:lvlText w:val="☑"/>
      <w:lvlJc w:val="left"/>
      <w:pPr>
        <w:ind w:left="2880" w:hanging="360"/>
      </w:pPr>
      <w:rPr>
        <w:rFonts w:ascii="MS Gothic" w:hAnsi="MS Gothic" w:hint="default"/>
      </w:rPr>
    </w:lvl>
    <w:lvl w:ilvl="8">
      <w:start w:val="1"/>
      <w:numFmt w:val="bullet"/>
      <w:lvlText w:val="☑"/>
      <w:lvlJc w:val="left"/>
      <w:pPr>
        <w:ind w:left="3240" w:hanging="360"/>
      </w:pPr>
      <w:rPr>
        <w:rFonts w:ascii="MS Gothic" w:hAnsi="MS Gothic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defaultTabStop w:val="420"/>
  <w:displayBackgroundShape/>
  <w:compat>
    <w:compatSetting w:name="compatibilityMode" w:uri="http://schemas.microsoft.com/office/word" w:val="15"/>
  </w:compat>
  <w:themeFontLang w:val="en-US" w:eastAsia="zh-CN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outlineLvl w:val="0"/>
      <w:spacing w:before="265" w:after="142"/>
    </w:pPr>
    <w:rPr>
      <w:b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  <w:spacing w:before="230" w:after="124"/>
    </w:pPr>
    <w:rPr>
      <w:b/>
      <w:sz w:val="32"/>
      <w:szCs w:val="32"/>
    </w:rPr>
  </w:style>
  <w:style w:type="paragraph" w:styleId="Heading3">
    <w:name w:val="heading 3"/>
    <w:basedOn w:val="Normal"/>
    <w:next w:val="Normal"/>
    <w:qFormat/>
    <w:pPr>
      <w:outlineLvl w:val="2"/>
      <w:spacing w:before="195" w:after="106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outlineLvl w:val="3"/>
      <w:spacing w:before="160" w:after="88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outlineLvl w:val="4"/>
      <w:spacing w:before="125" w:after="70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outlineLvl w:val="5"/>
      <w:spacing w:before="90" w:after="52"/>
    </w:pPr>
    <w:rPr>
      <w:b/>
      <w:sz w:val="20"/>
      <w:szCs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http://10.18.15.120:8181/diskcheck/legal/privacy.html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/Relationships>
</file>

<file path=docProps/app.xml><?xml version="1.0" encoding="utf-8"?>
<Properties xmlns="http://schemas.openxmlformats.org/officeDocument/2006/extended-properties">
  <Application>smartcanvas-export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0.2.084</dc:title>
  <dc:creator>smartcanvas-export</dc:creator>
</cp:coreProperties>
</file>