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Heading1"/>
      </w:pPr>
      <w:r>
        <w:t>0.2.075</w:t>
      </w:r>
    </w:p>
    <w:p>
      <w:r>
        <w:t>1.暗色模式下危险的背景导致灰色字体展示不佳，建议更换底色保证字体显示正常</w:t>
      </w:r>
    </w:p>
    <w:p>
      <w:pPr>
        <w:jc w:val="both"/>
      </w:pPr>
      <w:r>
        <w:drawing>
          <wp:inline distT="0" distB="0" distL="0" distR="0">
            <wp:extent cx="5724525" cy="207645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2.新弹窗的正在刷新的置灰模块没有覆盖整个新增的二级弹窗，且右侧靠近边框、置灰块下方存在空白。因为是整个二级弹窗的内容都没加载，建议正在刷新的置灰块覆盖整个二级弹窗内的界面</w:t>
      </w:r>
    </w:p>
    <w:p>
      <w:pPr>
        <w:jc w:val="both"/>
      </w:pPr>
      <w:r>
        <w:drawing>
          <wp:inline distT="0" distB="0" distL="0" distR="0">
            <wp:extent cx="5724525" cy="14097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3.正在扫描的磁盘可以导出此时的报表，建议定义导出报表的按键的使用时机———实现在检测完成后才能导出报表，其余时间按键置灰，并给出对应的悬浮提示</w:t>
      </w:r>
    </w:p>
    <w:p>
      <w:pPr>
        <w:jc w:val="both"/>
      </w:pPr>
      <w:r>
        <w:drawing>
          <wp:inline distT="0" distB="0" distL="0" distR="0">
            <wp:extent cx="5724525" cy="1847850"/>
            <wp:docPr id="3" name="Picture 3"/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4. 检测历史中的坐标轴是实时变化的，也就是正在扫描的时候的新增的记录会直接同步，导致结果不稳定，用户可能以为这是已经扫描完的记录，建议只在坐标轴展示已经执行完成的扫描结果，正在扫描的不展示</w:t>
      </w:r>
    </w:p>
    <w:p>
      <w:pPr>
        <w:jc w:val="both"/>
      </w:pPr>
      <w:r>
        <w:drawing>
          <wp:inline distT="0" distB="0" distL="0" distR="0">
            <wp:extent cx="5724525" cy="2324100"/>
            <wp:docPr id="4" name="Picture 4"/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5.磁盘状态、健康快照状态建议统一，已知上次所以符号加状态是被允许的，那么现在要解决的是显示不一致的问题。总览中展示的是不带符号的，但是SMART报告是带符号的，历史快照中磁盘的状态又变成了不带符号的；智能守护的上边的显示的是危险，但是磁盘健康快照检测历史是带符号危险</w:t>
      </w:r>
    </w:p>
    <w:p>
      <w:pPr>
        <w:jc w:val="both"/>
      </w:pPr>
      <w:r>
        <w:drawing>
          <wp:inline distT="0" distB="0" distL="0" distR="0">
            <wp:extent cx="5724525" cy="3905250"/>
            <wp:docPr id="5" name="Picture 5"/>
            <a:graphic>
              <a:graphicData uri="http://schemas.openxmlformats.org/drawingml/2006/picture">
                <pic:pic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0" distR="0">
            <wp:extent cx="5724525" cy="2962275"/>
            <wp:docPr id="6" name="Picture 6"/>
            <a:graphic>
              <a:graphicData uri="http://schemas.openxmlformats.org/drawingml/2006/picture">
                <pic:pic>
                  <pic:nvPicPr>
                    <pic:cNvPr id="6" name="Picture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6.立即检测是智能守护的快照的开始，但是放在了收件人与邮件通知的部分</w:t>
      </w:r>
    </w:p>
    <w:p>
      <w:pPr>
        <w:jc w:val="both"/>
      </w:pPr>
      <w:r>
        <w:drawing>
          <wp:inline distT="0" distB="0" distL="0" distR="0">
            <wp:extent cx="5724525" cy="2647950"/>
            <wp:docPr id="7" name="Picture 7"/>
            <a:graphic>
              <a:graphicData uri="http://schemas.openxmlformats.org/drawingml/2006/picture">
                <pic:pic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7.智能守护的上一次的检测结果的位置放得不对，左边显示的是下次检测但是展示的是上次的结果，左边展示的是正在采集磁盘健康证据但是展示的是上次的结果，会误导用户以为这次检测结果已经检测到了有风险，在边界场景尤其严重，上次危险但是已经解决危险但是这个检测中依旧显示危险；同样还有定时检测已关闭，但是右侧显示的是危险。</w:t>
      </w:r>
    </w:p>
    <w:p>
      <w:pPr>
        <w:jc w:val="center"/>
      </w:pPr>
      <w:r>
        <w:drawing>
          <wp:inline distT="0" distB="0" distL="0" distR="0">
            <wp:extent cx="5543550" cy="676275"/>
            <wp:docPr id="8" name="Picture 8"/>
            <a:graphic>
              <a:graphicData uri="http://schemas.openxmlformats.org/drawingml/2006/picture">
                <pic:pic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0" distR="0">
            <wp:extent cx="5724525" cy="2809875"/>
            <wp:docPr id="9" name="Picture 9"/>
            <a:graphic>
              <a:graphicData uri="http://schemas.openxmlformats.org/drawingml/2006/picture">
                <pic:pic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8.智能守护发送的邮件，磁盘存在多个问题建议为问题编号，不要全部用问题展示</w:t>
      </w:r>
    </w:p>
    <w:p>
      <w:pPr>
        <w:jc w:val="center"/>
      </w:pPr>
      <w:r>
        <w:drawing>
          <wp:inline distT="0" distB="0" distL="0" distR="0">
            <wp:extent cx="4972050" cy="763905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9.智能守护中邮件通知范围的下拉框的下拉展示图标紧贴边框，建议适当留空</w:t>
      </w:r>
    </w:p>
    <w:p>
      <w:pPr>
        <w:jc w:val="center"/>
      </w:pPr>
      <w:r>
        <w:drawing>
          <wp:inline distT="0" distB="0" distL="0" distR="0">
            <wp:extent cx="2438400" cy="647700"/>
            <wp:docPr id="11" name="Picture 11"/>
            <a:graphic>
              <a:graphicData uri="http://schemas.openxmlformats.org/drawingml/2006/picture">
                <pic:pic>
                  <pic:nvPicPr>
                    <pic:cNvPr id="11" name="Picture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10.二级弹窗最小化之后作用不大，建议二级弹窗只支持关闭与系统内保持一致</w:t>
      </w:r>
    </w:p>
    <w:p>
      <w:pPr>
        <w:jc w:val="both"/>
      </w:pPr>
      <w:r>
        <w:drawing>
          <wp:inline distT="0" distB="0" distL="0" distR="0">
            <wp:extent cx="5724525" cy="2809875"/>
            <wp:docPr id="12" name="Picture 12"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724525" cy="2990850"/>
            <wp:docPr id="13" name="Picture 13"/>
            <a:graphic>
              <a:graphicData uri="http://schemas.openxmlformats.org/drawingml/2006/picture">
                <pic:pic>
                  <pic:nvPicPr>
                    <pic:cNvPr id="13" name="Picture 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11.系统内DAS的磁盘被识别为无法识别的磁盘，即系统内可以检测这DAS 的磁盘的SMART信息，但是用这个磁盘健康管家变成了无法获取</w:t>
      </w:r>
    </w:p>
    <w:p>
      <w:pPr>
        <w:jc w:val="both"/>
      </w:pPr>
      <w:r>
        <w:drawing>
          <wp:inline distT="0" distB="0" distL="0" distR="0">
            <wp:extent cx="5724525" cy="3314700"/>
            <wp:docPr id="14" name="Picture 14"/>
            <a:graphic>
              <a:graphicData uri="http://schemas.openxmlformats.org/drawingml/2006/picture">
                <pic:pic>
                  <pic:nvPicPr>
                    <pic:cNvPr id="14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12.在接口加载信息的时候界面无loading，展示的是没有发现可检测的磁盘，系统内至少有一个磁盘，且当前状态已经覆盖无法获取，请删除这个界面中的没有发现可检测的磁盘且全部数量为0的情况，在加载的时候返回loading或者把这个界面改成正在获取之类的显示词，并且将其居中展示</w:t>
      </w:r>
    </w:p>
    <w:p>
      <w:pPr>
        <w:jc w:val="both"/>
      </w:pPr>
      <w:r>
        <w:drawing>
          <wp:inline distT="0" distB="0" distL="0" distR="0">
            <wp:extent cx="5724525" cy="2790825"/>
            <wp:docPr id="15" name="Picture 15"/>
            <a:graphic>
              <a:graphicData uri="http://schemas.openxmlformats.org/drawingml/2006/picture">
                <pic:pic>
                  <pic:nvPicPr>
                    <pic:cNvPr id="15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13.取消勾选管理员邮箱后点击报错提示词建议优化15.</w:t>
      </w:r>
    </w:p>
    <w:p>
      <w:pPr>
        <w:jc w:val="both"/>
      </w:pPr>
      <w:r>
        <w:drawing>
          <wp:inline distT="0" distB="0" distL="0" distR="0">
            <wp:extent cx="5724525" cy="2809875"/>
            <wp:docPr id="16" name="Picture 16"/>
            <a:graphic>
              <a:graphicData uri="http://schemas.openxmlformats.org/drawingml/2006/picture">
                <pic:pic>
                  <pic:nvPicPr>
                    <pic:cNvPr id="16" name="Picture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14.修复 Bug：移除「请使用 HTTPS 页面保存 SMTP 密码」提示，HTTP 与 HTTPS 均可正常保存 SMTP 配置。</w:t>
      </w:r>
    </w:p>
    <w:p>
      <w:pPr>
        <w:jc w:val="center"/>
      </w:pPr>
      <w:r>
        <w:drawing>
          <wp:inline distT="0" distB="0" distL="0" distR="0">
            <wp:extent cx="5724525" cy="6743700"/>
            <wp:docPr id="17" name="Picture 17"/>
            <a:graphic>
              <a:graphicData uri="http://schemas.openxmlformats.org/drawingml/2006/picture">
                <pic:pic>
                  <pic:nvPicPr>
                    <pic:cNvPr id="17" name="Picture 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15.连续点击发送测试邮件失败，建议更改提示词</w:t>
      </w:r>
    </w:p>
    <w:p>
      <w:pPr>
        <w:jc w:val="both"/>
      </w:pPr>
      <w:r>
        <w:drawing>
          <wp:inline distT="0" distB="0" distL="0" distR="0">
            <wp:extent cx="5724525" cy="3543300"/>
            <wp:docPr id="18" name="Picture 18"/>
            <a:graphic>
              <a:graphicData uri="http://schemas.openxmlformats.org/drawingml/2006/picture">
                <pic:pic>
                  <pic:nvPicPr>
                    <pic:cNvPr id="18" name="Picture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16.点击发送测试邮件无响应，无法收到发送的测试邮件，接口返回是超时</w:t>
      </w:r>
    </w:p>
    <w:p>
      <w:r>
        <w:t>{</w:t>
      </w:r>
    </w:p>
    <w:p>
      <w:r>
        <w:t>    "error": {</w:t>
      </w:r>
    </w:p>
    <w:p>
      <w:r>
        <w:t>        "code": "EMAIL_DELIVERY_FAILED",</w:t>
      </w:r>
    </w:p>
    <w:p>
      <w:r>
        <w:t>        "message": "helper TOS_MAIL_FAILED: TOS mail timeout: context deadline exceeded"</w:t>
      </w:r>
    </w:p>
    <w:p>
      <w:r>
        <w:t>    }</w:t>
      </w:r>
    </w:p>
    <w:p>
      <w:r>
        <w:t>}</w:t>
      </w:r>
    </w:p>
    <w:p>
      <w:r>
        <w:t>17.打开浏览器开发工具后页面挤压，记录与审计中结果列不展示，建议优化展示</w:t>
      </w:r>
    </w:p>
    <w:p>
      <w:pPr>
        <w:jc w:val="center"/>
      </w:pPr>
      <w:r>
        <w:drawing>
          <wp:inline distT="0" distB="0" distL="0" distR="0">
            <wp:extent cx="5724525" cy="4972050"/>
            <wp:docPr id="19" name="Picture 19"/>
            <a:graphic>
              <a:graphicData uri="http://schemas.openxmlformats.org/drawingml/2006/picture">
                <pic:pic>
                  <pic:nvPicPr>
                    <pic:cNvPr id="19" name="Picture 1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18.记录与审计中写的是“结论筛选”，但是实际是“结果”的筛选，建议把结果筛选的可选项改成与结果一致的内容，没有明确的定义，用户不能知道结论筛选对应的是什么</w:t>
      </w:r>
    </w:p>
    <w:p>
      <w:pPr>
        <w:jc w:val="both"/>
      </w:pPr>
      <w:r>
        <w:drawing>
          <wp:inline distT="0" distB="0" distL="0" distR="0">
            <wp:extent cx="5724525" cy="228600"/>
            <wp:docPr id="20" name="Picture 20"/>
            <a:graphic>
              <a:graphicData uri="http://schemas.openxmlformats.org/drawingml/2006/picture">
                <pic:pic>
                  <pic:nvPicPr>
                    <pic:cNvPr id="20" name="Picture 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0" distR="0">
            <wp:extent cx="5724525" cy="1447800"/>
            <wp:docPr id="21" name="Picture 21"/>
            <a:graphic>
              <a:graphicData uri="http://schemas.openxmlformats.org/drawingml/2006/picture">
                <pic:pic>
                  <pic:nvPicPr>
                    <pic:cNvPr id="21" name="Picture 2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19.记录与审计中时间与对应有的用户是默认的英语，而不是用对应的语言展示事件。如守护邮箱设置等</w:t>
      </w:r>
    </w:p>
    <w:p>
      <w:pPr>
        <w:jc w:val="both"/>
      </w:pPr>
      <w:r>
        <w:drawing>
          <wp:inline distT="0" distB="0" distL="0" distR="0">
            <wp:extent cx="5724525" cy="2114550"/>
            <wp:docPr id="22" name="Picture 22"/>
            <a:graphic>
              <a:graphicData uri="http://schemas.openxmlformats.org/drawingml/2006/picture">
                <pic:pic>
                  <pic:nvPicPr>
                    <pic:cNvPr id="22" name="Picture 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20.等待中与警告的底色与左边颜色框是一致的，等待中的状态与警告意义是不同的，建议警告为更深的黄色突出告警的意思</w:t>
      </w:r>
    </w:p>
    <w:p>
      <w:pPr>
        <w:jc w:val="both"/>
      </w:pPr>
      <w:r>
        <w:drawing>
          <wp:inline distT="0" distB="0" distL="0" distR="0">
            <wp:extent cx="5724525" cy="1000125"/>
            <wp:docPr id="23" name="Picture 23"/>
            <a:graphic>
              <a:graphicData uri="http://schemas.openxmlformats.org/drawingml/2006/picture">
                <pic:pic>
                  <pic:nvPicPr>
                    <pic:cNvPr id="23" name="Picture 2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21.添加收件人邮箱可以设置重复邮箱成功，参考系统内设置禁止重复email地址</w:t>
      </w:r>
    </w:p>
    <w:p>
      <w:pPr>
        <w:jc w:val="both"/>
      </w:pPr>
      <w:r>
        <w:drawing>
          <wp:inline distT="0" distB="0" distL="0" distR="0">
            <wp:extent cx="5724525" cy="2981325"/>
            <wp:docPr id="24" name="Picture 24"/>
            <a:graphic>
              <a:graphicData uri="http://schemas.openxmlformats.org/drawingml/2006/picture">
                <pic:pic>
                  <pic:nvPicPr>
                    <pic:cNvPr id="24" name="Picture 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22.软件问题反馈的邮箱、问题描述在上次输入后关闭后重新打开会展示上次填入的历史内容，但是勾选协议会取消勾选，建议每次打开清空内容，保证每次打开都是新的。请ai检查所有可编辑的弹窗，在执行编辑后，点击取消，默认查看</w:t>
      </w:r>
    </w:p>
    <w:p>
      <w:r>
        <w:t>23.建议帮助描述与问题反馈分开放，现在用户必须下滑才能看到</w:t>
      </w:r>
    </w:p>
    <w:p>
      <w:pPr>
        <w:jc w:val="both"/>
      </w:pPr>
      <w:r>
        <w:drawing>
          <wp:inline distT="0" distB="0" distL="0" distR="0">
            <wp:extent cx="5724525" cy="2952750"/>
            <wp:docPr id="25" name="Picture 25"/>
            <a:graphic>
              <a:graphicData uri="http://schemas.openxmlformats.org/drawingml/2006/picture">
                <pic:pic>
                  <pic:nvPicPr>
                    <pic:cNvPr id="25" name="Picture 2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24. 对于无法获取SMART信息的磁盘点击后二级弹窗建议更换提示词，比如提示该磁盘状态无法获取等</w:t>
      </w:r>
    </w:p>
    <w:p>
      <w:pPr>
        <w:jc w:val="both"/>
      </w:pPr>
      <w:r>
        <w:drawing>
          <wp:inline distT="0" distB="0" distL="0" distR="0">
            <wp:extent cx="5724525" cy="2543175"/>
            <wp:docPr id="26" name="Picture 26"/>
            <a:graphic>
              <a:graphicData uri="http://schemas.openxmlformats.org/drawingml/2006/picture">
                <pic:pic>
                  <pic:nvPicPr>
                    <pic:cNvPr id="26" name="Picture 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">
    <w:lvl w:ilvl="0">
      <w:start w:val="1"/>
      <w:numFmt w:val="bullet"/>
      <w:lvlText w:val="☐"/>
      <w:lvlJc w:val="left"/>
      <w:pPr>
        <w:ind w:left="360" w:hanging="360"/>
      </w:pPr>
      <w:rPr>
        <w:rFonts w:ascii="MS Gothic" w:hAnsi="MS Gothic" w:hint="default"/>
      </w:rPr>
    </w:lvl>
    <w:lvl w:ilvl="1">
      <w:start w:val="1"/>
      <w:numFmt w:val="bullet"/>
      <w:lvlText w:val="☐"/>
      <w:lvlJc w:val="left"/>
      <w:pPr>
        <w:ind w:left="720" w:hanging="360"/>
      </w:pPr>
      <w:rPr>
        <w:rFonts w:ascii="MS Gothic" w:hAnsi="MS Gothic" w:hint="default"/>
      </w:rPr>
    </w:lvl>
    <w:lvl w:ilvl="2">
      <w:start w:val="1"/>
      <w:numFmt w:val="bullet"/>
      <w:lvlText w:val="☐"/>
      <w:lvlJc w:val="left"/>
      <w:pPr>
        <w:ind w:left="1080" w:hanging="360"/>
      </w:pPr>
      <w:rPr>
        <w:rFonts w:ascii="MS Gothic" w:hAnsi="MS Gothic" w:hint="default"/>
      </w:rPr>
    </w:lvl>
    <w:lvl w:ilvl="3">
      <w:start w:val="1"/>
      <w:numFmt w:val="bullet"/>
      <w:lvlText w:val="☐"/>
      <w:lvlJc w:val="left"/>
      <w:pPr>
        <w:ind w:left="1440" w:hanging="360"/>
      </w:pPr>
      <w:rPr>
        <w:rFonts w:ascii="MS Gothic" w:hAnsi="MS Gothic" w:hint="default"/>
      </w:rPr>
    </w:lvl>
    <w:lvl w:ilvl="4">
      <w:start w:val="1"/>
      <w:numFmt w:val="bullet"/>
      <w:lvlText w:val="☐"/>
      <w:lvlJc w:val="left"/>
      <w:pPr>
        <w:ind w:left="1800" w:hanging="360"/>
      </w:pPr>
      <w:rPr>
        <w:rFonts w:ascii="MS Gothic" w:hAnsi="MS Gothic" w:hint="default"/>
      </w:rPr>
    </w:lvl>
    <w:lvl w:ilvl="5">
      <w:start w:val="1"/>
      <w:numFmt w:val="bullet"/>
      <w:lvlText w:val="☐"/>
      <w:lvlJc w:val="left"/>
      <w:pPr>
        <w:ind w:left="2160" w:hanging="360"/>
      </w:pPr>
      <w:rPr>
        <w:rFonts w:ascii="MS Gothic" w:hAnsi="MS Gothic" w:hint="default"/>
      </w:rPr>
    </w:lvl>
    <w:lvl w:ilvl="6">
      <w:start w:val="1"/>
      <w:numFmt w:val="bullet"/>
      <w:lvlText w:val="☐"/>
      <w:lvlJc w:val="left"/>
      <w:pPr>
        <w:ind w:left="2520" w:hanging="360"/>
      </w:pPr>
      <w:rPr>
        <w:rFonts w:ascii="MS Gothic" w:hAnsi="MS Gothic" w:hint="default"/>
      </w:rPr>
    </w:lvl>
    <w:lvl w:ilvl="7">
      <w:start w:val="1"/>
      <w:numFmt w:val="bullet"/>
      <w:lvlText w:val="☐"/>
      <w:lvlJc w:val="left"/>
      <w:pPr>
        <w:ind w:left="2880" w:hanging="360"/>
      </w:pPr>
      <w:rPr>
        <w:rFonts w:ascii="MS Gothic" w:hAnsi="MS Gothic" w:hint="default"/>
      </w:rPr>
    </w:lvl>
    <w:lvl w:ilvl="8">
      <w:start w:val="1"/>
      <w:numFmt w:val="bullet"/>
      <w:lvlText w:val="☐"/>
      <w:lvlJc w:val="left"/>
      <w:pPr>
        <w:ind w:left="3240" w:hanging="360"/>
      </w:pPr>
      <w:rPr>
        <w:rFonts w:ascii="MS Gothic" w:hAnsi="MS Gothic" w:hint="default"/>
      </w:rPr>
    </w:lvl>
  </w:abstractNum>
  <w:abstractNum w:abstractNumId="3">
    <w:lvl w:ilvl="0">
      <w:start w:val="1"/>
      <w:numFmt w:val="bullet"/>
      <w:lvlText w:val="☑"/>
      <w:lvlJc w:val="left"/>
      <w:pPr>
        <w:ind w:left="360" w:hanging="360"/>
      </w:pPr>
      <w:rPr>
        <w:rFonts w:ascii="MS Gothic" w:hAnsi="MS Gothic" w:hint="default"/>
      </w:rPr>
    </w:lvl>
    <w:lvl w:ilvl="1">
      <w:start w:val="1"/>
      <w:numFmt w:val="bullet"/>
      <w:lvlText w:val="☑"/>
      <w:lvlJc w:val="left"/>
      <w:pPr>
        <w:ind w:left="720" w:hanging="360"/>
      </w:pPr>
      <w:rPr>
        <w:rFonts w:ascii="MS Gothic" w:hAnsi="MS Gothic" w:hint="default"/>
      </w:rPr>
    </w:lvl>
    <w:lvl w:ilvl="2">
      <w:start w:val="1"/>
      <w:numFmt w:val="bullet"/>
      <w:lvlText w:val="☑"/>
      <w:lvlJc w:val="left"/>
      <w:pPr>
        <w:ind w:left="1080" w:hanging="360"/>
      </w:pPr>
      <w:rPr>
        <w:rFonts w:ascii="MS Gothic" w:hAnsi="MS Gothic" w:hint="default"/>
      </w:rPr>
    </w:lvl>
    <w:lvl w:ilvl="3">
      <w:start w:val="1"/>
      <w:numFmt w:val="bullet"/>
      <w:lvlText w:val="☑"/>
      <w:lvlJc w:val="left"/>
      <w:pPr>
        <w:ind w:left="1440" w:hanging="360"/>
      </w:pPr>
      <w:rPr>
        <w:rFonts w:ascii="MS Gothic" w:hAnsi="MS Gothic" w:hint="default"/>
      </w:rPr>
    </w:lvl>
    <w:lvl w:ilvl="4">
      <w:start w:val="1"/>
      <w:numFmt w:val="bullet"/>
      <w:lvlText w:val="☑"/>
      <w:lvlJc w:val="left"/>
      <w:pPr>
        <w:ind w:left="1800" w:hanging="360"/>
      </w:pPr>
      <w:rPr>
        <w:rFonts w:ascii="MS Gothic" w:hAnsi="MS Gothic" w:hint="default"/>
      </w:rPr>
    </w:lvl>
    <w:lvl w:ilvl="5">
      <w:start w:val="1"/>
      <w:numFmt w:val="bullet"/>
      <w:lvlText w:val="☑"/>
      <w:lvlJc w:val="left"/>
      <w:pPr>
        <w:ind w:left="2160" w:hanging="360"/>
      </w:pPr>
      <w:rPr>
        <w:rFonts w:ascii="MS Gothic" w:hAnsi="MS Gothic" w:hint="default"/>
      </w:rPr>
    </w:lvl>
    <w:lvl w:ilvl="6">
      <w:start w:val="1"/>
      <w:numFmt w:val="bullet"/>
      <w:lvlText w:val="☑"/>
      <w:lvlJc w:val="left"/>
      <w:pPr>
        <w:ind w:left="2520" w:hanging="360"/>
      </w:pPr>
      <w:rPr>
        <w:rFonts w:ascii="MS Gothic" w:hAnsi="MS Gothic" w:hint="default"/>
      </w:rPr>
    </w:lvl>
    <w:lvl w:ilvl="7">
      <w:start w:val="1"/>
      <w:numFmt w:val="bullet"/>
      <w:lvlText w:val="☑"/>
      <w:lvlJc w:val="left"/>
      <w:pPr>
        <w:ind w:left="2880" w:hanging="360"/>
      </w:pPr>
      <w:rPr>
        <w:rFonts w:ascii="MS Gothic" w:hAnsi="MS Gothic" w:hint="default"/>
      </w:rPr>
    </w:lvl>
    <w:lvl w:ilvl="8">
      <w:start w:val="1"/>
      <w:numFmt w:val="bullet"/>
      <w:lvlText w:val="☑"/>
      <w:lvlJc w:val="left"/>
      <w:pPr>
        <w:ind w:left="3240" w:hanging="360"/>
      </w:pPr>
      <w:rPr>
        <w:rFonts w:ascii="MS Gothic" w:hAnsi="MS Gothic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efaultTabStop w:val="420"/>
  <w:displayBackgroundShape/>
  <w:compat>
    <w:compatSetting w:name="compatibilityMode" w:uri="http://schemas.microsoft.com/office/word" w:val="15"/>
  </w:compat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  <w:spacing w:before="265" w:after="142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  <w:spacing w:before="230" w:after="124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  <w:spacing w:before="195" w:after="106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outlineLvl w:val="3"/>
      <w:spacing w:before="160" w:after="88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outlineLvl w:val="4"/>
      <w:spacing w:before="125" w:after="70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outlineLvl w:val="5"/>
      <w:spacing w:before="90" w:after="52"/>
    </w:pPr>
    <w:rPr>
      <w:b/>
      <w:sz w:val="20"/>
      <w:szCs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/Relationships>
</file>

<file path=docProps/app.xml><?xml version="1.0" encoding="utf-8"?>
<Properties xmlns="http://schemas.openxmlformats.org/officeDocument/2006/extended-properties">
  <Application>smartcanvas-export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0.2.075</dc:title>
  <dc:creator>smartcanvas-export</dc:creator>
</cp:coreProperties>
</file>