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2563EB"/>
          <w:sz w:val="22"/>
        </w:rPr>
        <w:t>KHALID BOSHNAK &amp; MOHAMMAD (KBM) TECHNOLOGY PIPELINE</w:t>
        <w:br/>
      </w:r>
      <w:r>
        <w:rPr>
          <w:rFonts w:ascii="Segoe UI" w:hAnsi="Segoe UI"/>
          <w:b/>
          <w:color w:val="0F2642"/>
          <w:sz w:val="48"/>
        </w:rPr>
        <w:t>KBM TenderScout™ Platform</w:t>
        <w:br/>
        <w:t>User Guide &amp; Operational Manual</w:t>
      </w:r>
    </w:p>
    <w:p>
      <w:pPr>
        <w:spacing w:before="0" w:after="240"/>
      </w:pPr>
      <w:r>
        <w:rPr>
          <w:rFonts w:ascii="Segoe UI" w:hAnsi="Segoe UI"/>
          <w:b/>
          <w:color w:val="1E293B"/>
          <w:sz w:val="26"/>
        </w:rPr>
        <w:t>دليل المستخدم والتشغيل لمنظومة رصد وتتبع المناقصات والممارسات الحكومية والنفطية</w:t>
      </w:r>
    </w:p>
    <w:tbl>
      <w:tblPr>
        <w:tblW w:type="auto" w:w="0"/>
        <w:jc w:val="center"/>
        <w:tblLook w:firstColumn="1" w:firstRow="1" w:lastColumn="0" w:lastRow="0" w:noHBand="0" w:noVBand="1" w:val="04A0"/>
      </w:tblPr>
      <w:tblGrid>
        <w:gridCol w:w="4968"/>
        <w:gridCol w:w="4968"/>
      </w:tblGrid>
      <w:tr>
        <w:tc>
          <w:tcPr>
            <w:tcW w:type="dxa" w:w="3168"/>
            <w:shd w:fill="F8FAFC"/>
            <w:tcMar>
              <w:top w:w="80" w:type="dxa"/>
              <w:bottom w:w="80" w:type="dxa"/>
              <w:left w:w="120" w:type="dxa"/>
              <w:right w:w="120" w:type="dxa"/>
            </w:tcMar>
          </w:tcPr>
          <w:p>
            <w:r>
              <w:rPr>
                <w:b/>
                <w:color w:val="0F2642"/>
                <w:sz w:val="18"/>
              </w:rPr>
              <w:t>Cloud Production URL:</w:t>
            </w:r>
          </w:p>
        </w:tc>
        <w:tc>
          <w:tcPr>
            <w:tcW w:type="dxa" w:w="6048"/>
            <w:shd w:fill="EFF6FF"/>
            <w:tcMar>
              <w:top w:w="80" w:type="dxa"/>
              <w:bottom w:w="80" w:type="dxa"/>
              <w:left w:w="120" w:type="dxa"/>
              <w:right w:w="120" w:type="dxa"/>
            </w:tcMar>
          </w:tcPr>
          <w:p>
            <w:r>
              <w:rPr>
                <w:b/>
                <w:color w:val="1E40AF"/>
                <w:sz w:val="18"/>
              </w:rPr>
              <w:t>https://kbm-tenderscout.azurewebsites.net (Azure Cloud Hosted)</w:t>
            </w:r>
          </w:p>
        </w:tc>
      </w:tr>
      <w:tr>
        <w:tc>
          <w:tcPr>
            <w:tcW w:type="dxa" w:w="3168"/>
            <w:shd w:fill="F8FAFC"/>
            <w:tcMar>
              <w:top w:w="80" w:type="dxa"/>
              <w:bottom w:w="80" w:type="dxa"/>
              <w:left w:w="120" w:type="dxa"/>
              <w:right w:w="120" w:type="dxa"/>
            </w:tcMar>
          </w:tcPr>
          <w:p>
            <w:r>
              <w:rPr>
                <w:b/>
                <w:color w:val="0F2642"/>
                <w:sz w:val="18"/>
              </w:rPr>
              <w:t>Source Code Repository:</w:t>
            </w:r>
          </w:p>
        </w:tc>
        <w:tc>
          <w:tcPr>
            <w:tcW w:type="dxa" w:w="6048"/>
            <w:shd w:fill="EFF6FF"/>
            <w:tcMar>
              <w:top w:w="80" w:type="dxa"/>
              <w:bottom w:w="80" w:type="dxa"/>
              <w:left w:w="120" w:type="dxa"/>
              <w:right w:w="120" w:type="dxa"/>
            </w:tcMar>
          </w:tcPr>
          <w:p>
            <w:r>
              <w:rPr>
                <w:b/>
                <w:color w:val="1E40AF"/>
                <w:sz w:val="18"/>
              </w:rPr>
              <w:t>https://github.com/6439144/KBM_TenderScout (GitHub Master)</w:t>
            </w:r>
          </w:p>
        </w:tc>
      </w:tr>
      <w:tr>
        <w:tc>
          <w:tcPr>
            <w:tcW w:type="dxa" w:w="3168"/>
            <w:shd w:fill="F8FAFC"/>
            <w:tcMar>
              <w:top w:w="80" w:type="dxa"/>
              <w:bottom w:w="80" w:type="dxa"/>
              <w:left w:w="120" w:type="dxa"/>
              <w:right w:w="120" w:type="dxa"/>
            </w:tcMar>
          </w:tcPr>
          <w:p>
            <w:r>
              <w:rPr>
                <w:b/>
                <w:color w:val="0F2642"/>
                <w:sz w:val="18"/>
              </w:rPr>
              <w:t>Automated Daily Schedule:</w:t>
            </w:r>
          </w:p>
        </w:tc>
        <w:tc>
          <w:tcPr>
            <w:tcW w:type="dxa" w:w="6048"/>
            <w:shd w:fill="EFF6FF"/>
            <w:tcMar>
              <w:top w:w="80" w:type="dxa"/>
              <w:bottom w:w="80" w:type="dxa"/>
              <w:left w:w="120" w:type="dxa"/>
              <w:right w:w="120" w:type="dxa"/>
            </w:tcMar>
          </w:tcPr>
          <w:p>
            <w:r>
              <w:rPr>
                <w:b w:val="0"/>
                <w:color w:val="1E293B"/>
                <w:sz w:val="18"/>
              </w:rPr>
              <w:t>08:00 AM Kuwait Time (05:00 UTC) Daily Sync</w:t>
            </w:r>
          </w:p>
        </w:tc>
      </w:tr>
      <w:tr>
        <w:tc>
          <w:tcPr>
            <w:tcW w:type="dxa" w:w="3168"/>
            <w:shd w:fill="F8FAFC"/>
            <w:tcMar>
              <w:top w:w="80" w:type="dxa"/>
              <w:bottom w:w="80" w:type="dxa"/>
              <w:left w:w="120" w:type="dxa"/>
              <w:right w:w="120" w:type="dxa"/>
            </w:tcMar>
          </w:tcPr>
          <w:p>
            <w:r>
              <w:rPr>
                <w:b/>
                <w:color w:val="0F2642"/>
                <w:sz w:val="18"/>
              </w:rPr>
              <w:t>Target Users:</w:t>
            </w:r>
          </w:p>
        </w:tc>
        <w:tc>
          <w:tcPr>
            <w:tcW w:type="dxa" w:w="6048"/>
            <w:shd w:fill="EFF6FF"/>
            <w:tcMar>
              <w:top w:w="80" w:type="dxa"/>
              <w:bottom w:w="80" w:type="dxa"/>
              <w:left w:w="120" w:type="dxa"/>
              <w:right w:w="120" w:type="dxa"/>
            </w:tcMar>
          </w:tcPr>
          <w:p>
            <w:r>
              <w:rPr>
                <w:b w:val="0"/>
                <w:color w:val="1E293B"/>
                <w:sz w:val="18"/>
              </w:rPr>
              <w:t>KBM Account Managers, Bidding Team, Technology Sales &amp; Management</w:t>
            </w:r>
          </w:p>
        </w:tc>
      </w:tr>
    </w:tbl>
    <w:p>
      <w:pPr>
        <w:spacing w:before="160" w:after="240"/>
      </w:pPr>
    </w:p>
    <w:p>
      <w:pPr>
        <w:keepNext/>
        <w:spacing w:before="320" w:after="120"/>
      </w:pPr>
      <w:r>
        <w:rPr>
          <w:rFonts w:ascii="Segoe UI" w:hAnsi="Segoe UI"/>
          <w:b/>
          <w:color w:val="0F2642"/>
          <w:sz w:val="30"/>
        </w:rPr>
        <w:t>1. Executive Overview &amp; System Architecture</w:t>
      </w:r>
    </w:p>
    <w:p>
      <w:pPr>
        <w:spacing w:before="40" w:after="80" w:line="276" w:lineRule="auto"/>
      </w:pPr>
      <w:r>
        <w:rPr>
          <w:rFonts w:ascii="Segoe UI" w:hAnsi="Segoe UI"/>
          <w:color w:val="1E293B"/>
          <w:sz w:val="20"/>
        </w:rPr>
        <w:t>KBM TenderScout™ is an intelligent procurement tracking platform built specifically for KBM to monitor, analyze, and match Kuwaiti government and oil-sector public tenders and practices (ممارسات ومناقصات). The system replaces manual tracking with automated scrapers, deep natural language parsing, and strategic account manager mapping directly derived from the KBM Technology Pipeline.</w:t>
      </w:r>
    </w:p>
    <w:p>
      <w:pPr>
        <w:spacing w:before="40" w:after="80" w:line="276" w:lineRule="auto"/>
      </w:pPr>
      <w:r>
        <w:rPr>
          <w:rFonts w:ascii="Segoe UI" w:hAnsi="Segoe UI"/>
          <w:color w:val="1E293B"/>
          <w:sz w:val="20"/>
        </w:rPr>
        <w:t>The platform aggregates two authoritative state channels:</w:t>
        <w:br/>
        <w:t>• Central Agency for Public Tenders (CAPT / الجهاز المركزي للمناقصات العامة) - All opening and active public tenders.</w:t>
        <w:br/>
        <w:t>• Official Kuwait Gazette (Kuwait Al-Yawm / جريدة الكويت اليوم - ملحق المناقصات) - Full downloadable PDF supplements with extracted tender scopes, technical specifications, closing dates, pre-tender meetings, and bid bonds.</w:t>
      </w:r>
    </w:p>
    <w:tbl>
      <w:tblPr>
        <w:tblW w:type="auto" w:w="0"/>
        <w:jc w:val="center"/>
        <w:tblLayout w:type="fixed"/>
        <w:tblLook w:firstColumn="1" w:firstRow="1" w:lastColumn="0" w:lastRow="0" w:noHBand="0" w:noVBand="1" w:val="04A0"/>
      </w:tblPr>
      <w:tblGrid>
        <w:gridCol w:w="9936"/>
      </w:tblGrid>
      <w:tr>
        <w:tc>
          <w:tcPr>
            <w:tcW w:type="dxa" w:w="9216"/>
            <w:shd w:fill="EFF6FF"/>
            <w:tcMar>
              <w:top w:w="160" w:type="dxa"/>
              <w:bottom w:w="160" w:type="dxa"/>
              <w:left w:w="220" w:type="dxa"/>
              <w:right w:w="200" w:type="dxa"/>
            </w:tcMar>
            <w:tcBorders>
              <w:left w:val="single" w:sz="24" w:space="0" w:color="2563EB"/>
              <w:top w:val="none"/>
              <w:right w:val="none"/>
              <w:bottom w:val="none"/>
            </w:tcBorders>
          </w:tcPr>
          <w:p>
            <w:pPr>
              <w:spacing w:before="40" w:after="80"/>
            </w:pPr>
            <w:r>
              <w:rPr>
                <w:rFonts w:ascii="Segoe UI" w:hAnsi="Segoe UI"/>
                <w:b/>
                <w:color w:val="1E40AF"/>
                <w:sz w:val="21"/>
              </w:rPr>
              <w:t>📌 High Precision &amp; Deep Scope Parsing</w:t>
              <w:br/>
            </w:r>
            <w:r>
              <w:rPr>
                <w:rFonts w:ascii="Segoe UI" w:hAnsi="Segoe UI"/>
                <w:color w:val="1E293B"/>
                <w:sz w:val="19"/>
              </w:rPr>
              <w:t>Zero Missing Data Guarantee: Incomplete entries with generic placeholder text ('LOADING...') have been completely purged.</w:t>
            </w:r>
          </w:p>
          <w:p>
            <w:pPr>
              <w:spacing w:before="40" w:after="40"/>
            </w:pPr>
            <w:r>
              <w:rPr>
                <w:rFonts w:ascii="Segoe UI" w:hAnsi="Segoe UI"/>
                <w:color w:val="1E293B"/>
                <w:sz w:val="19"/>
              </w:rPr>
              <w:t>Every tender in the system contains authentic client entity names, detailed scope descriptions (e.g. Cisco core switches, IBM Maximo, enterprise servers), accurate closing dates, and official reference numbers.</w:t>
            </w:r>
          </w:p>
        </w:tc>
      </w:tr>
    </w:tbl>
    <w:p>
      <w:pPr>
        <w:spacing w:before="80" w:after="120"/>
      </w:pPr>
    </w:p>
    <w:p>
      <w:pPr>
        <w:keepNext/>
        <w:spacing w:before="320" w:after="120"/>
      </w:pPr>
      <w:r>
        <w:rPr>
          <w:rFonts w:ascii="Segoe UI" w:hAnsi="Segoe UI"/>
          <w:b/>
          <w:color w:val="0F2642"/>
          <w:sz w:val="30"/>
        </w:rPr>
        <w:t>2. Accessing the Platform</w:t>
      </w:r>
    </w:p>
    <w:p>
      <w:pPr>
        <w:spacing w:before="40" w:after="80" w:line="276" w:lineRule="auto"/>
      </w:pPr>
      <w:r>
        <w:rPr>
          <w:rFonts w:ascii="Segoe UI" w:hAnsi="Segoe UI"/>
          <w:color w:val="1E293B"/>
          <w:sz w:val="20"/>
        </w:rPr>
        <w:t>The application is accessible 24/7 without requiring software installation or local setups on employee machines:</w:t>
      </w:r>
    </w:p>
    <w:p>
      <w:pPr>
        <w:spacing w:before="40" w:after="80" w:line="276" w:lineRule="auto"/>
      </w:pPr>
      <w:r>
        <w:rPr>
          <w:rFonts w:ascii="Segoe UI" w:hAnsi="Segoe UI"/>
          <w:color w:val="1E293B"/>
          <w:sz w:val="20"/>
        </w:rPr>
        <w:t>1. Live Cloud Portal: https://kbm-tenderscout.azurewebsites.net</w:t>
        <w:br/>
        <w:t xml:space="preserve">   Hosted on Microsoft Azure App Service Free Tier (zero recurring cloud infrastructure cost).</w:t>
        <w:br/>
        <w:t>2. Browser Compatibility: Fully tested and responsive on Google Chrome, Microsoft Edge, Mozilla Firefox, and Apple Safari (desktop, tablet, and mobile).</w:t>
        <w:br/>
        <w:t>3. Local Fallback (Optional): Can be launched locally on the office network via http://127.0.0.1:8000 using the provided startup script.</w:t>
      </w:r>
    </w:p>
    <w:p>
      <w:pPr>
        <w:spacing w:before="20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ashboard_overview.png"/>
                    <pic:cNvPicPr/>
                  </pic:nvPicPr>
                  <pic:blipFill>
                    <a:blip r:embed="rId11"/>
                    <a:stretch>
                      <a:fillRect/>
                    </a:stretch>
                  </pic:blipFill>
                  <pic:spPr>
                    <a:xfrm>
                      <a:off x="0" y="0"/>
                      <a:ext cx="5669280" cy="3543300"/>
                    </a:xfrm>
                    <a:prstGeom prst="rect"/>
                  </pic:spPr>
                </pic:pic>
              </a:graphicData>
            </a:graphic>
          </wp:inline>
        </w:drawing>
      </w:r>
    </w:p>
    <w:p>
      <w:pPr>
        <w:spacing w:before="0" w:after="200"/>
        <w:jc w:val="center"/>
      </w:pPr>
      <w:r>
        <w:rPr>
          <w:rFonts w:ascii="Segoe UI" w:hAnsi="Segoe UI"/>
          <w:i/>
          <w:color w:val="64748B"/>
          <w:sz w:val="18"/>
        </w:rPr>
        <w:t>Figure 1: KBM TenderScout Main Executive Dashboard Overview</w:t>
      </w:r>
    </w:p>
    <w:p>
      <w:pPr>
        <w:keepNext/>
        <w:spacing w:before="320" w:after="120"/>
      </w:pPr>
      <w:r>
        <w:rPr>
          <w:rFonts w:ascii="Segoe UI" w:hAnsi="Segoe UI"/>
          <w:b/>
          <w:color w:val="0F2642"/>
          <w:sz w:val="30"/>
        </w:rPr>
        <w:t>3. Step-by-Step User Workflow &amp; Features</w:t>
      </w:r>
    </w:p>
    <w:p>
      <w:pPr>
        <w:keepNext/>
        <w:spacing w:before="240" w:after="80"/>
      </w:pPr>
      <w:r>
        <w:rPr>
          <w:rFonts w:ascii="Segoe UI" w:hAnsi="Segoe UI"/>
          <w:b/>
          <w:color w:val="1E40AF"/>
          <w:sz w:val="25"/>
        </w:rPr>
        <w:t>3.1 KPI Metrics &amp; Real-time Filter Bar</w:t>
      </w:r>
    </w:p>
    <w:p>
      <w:pPr>
        <w:spacing w:before="40" w:after="80" w:line="276" w:lineRule="auto"/>
      </w:pPr>
      <w:r>
        <w:rPr>
          <w:rFonts w:ascii="Segoe UI" w:hAnsi="Segoe UI"/>
          <w:color w:val="1E293B"/>
          <w:sz w:val="20"/>
        </w:rPr>
        <w:t>The top summary section provides instantaneous situational awareness across all active opportunities:</w:t>
      </w:r>
    </w:p>
    <w:p>
      <w:pPr>
        <w:spacing w:before="40" w:after="80" w:line="276" w:lineRule="auto"/>
      </w:pPr>
      <w:r>
        <w:rPr>
          <w:rFonts w:ascii="Segoe UI" w:hAnsi="Segoe UI"/>
          <w:color w:val="1E293B"/>
          <w:sz w:val="20"/>
        </w:rPr>
        <w:t>• Total Monitored: Total count of canonical opportunities in the database (231 active tenders).</w:t>
        <w:br/>
        <w:t>• Strategic Matches: Tenders specifically matched to KBM core technology offerings (Cisco, IBM, HPE/Dell, Cyber, Cloud, Infrastructure).</w:t>
        <w:br/>
        <w:t>• Approaching Deadlines: Opportunities closing within the next 14 days, flagged in urgent amber/red.</w:t>
        <w:br/>
        <w:t>• Source Breakdown: Real-time counter of CAPT portal listings vs Kuwait Al-Yawm Gazette listings.</w:t>
      </w:r>
    </w:p>
    <w:p>
      <w:pPr>
        <w:spacing w:before="200" w:after="80"/>
        <w:jc w:val="center"/>
      </w:pPr>
      <w:r>
        <w:drawing>
          <wp:inline xmlns:a="http://schemas.openxmlformats.org/drawingml/2006/main" xmlns:pic="http://schemas.openxmlformats.org/drawingml/2006/picture">
            <wp:extent cx="5669280" cy="2057400"/>
            <wp:docPr id="2" name="Picture 2"/>
            <wp:cNvGraphicFramePr>
              <a:graphicFrameLocks noChangeAspect="1"/>
            </wp:cNvGraphicFramePr>
            <a:graphic>
              <a:graphicData uri="http://schemas.openxmlformats.org/drawingml/2006/picture">
                <pic:pic>
                  <pic:nvPicPr>
                    <pic:cNvPr id="0" name="02_kpi_and_filters.png"/>
                    <pic:cNvPicPr/>
                  </pic:nvPicPr>
                  <pic:blipFill>
                    <a:blip r:embed="rId12"/>
                    <a:stretch>
                      <a:fillRect/>
                    </a:stretch>
                  </pic:blipFill>
                  <pic:spPr>
                    <a:xfrm>
                      <a:off x="0" y="0"/>
                      <a:ext cx="5669280" cy="2057400"/>
                    </a:xfrm>
                    <a:prstGeom prst="rect"/>
                  </pic:spPr>
                </pic:pic>
              </a:graphicData>
            </a:graphic>
          </wp:inline>
        </w:drawing>
      </w:r>
    </w:p>
    <w:p>
      <w:pPr>
        <w:spacing w:before="0" w:after="200"/>
        <w:jc w:val="center"/>
      </w:pPr>
      <w:r>
        <w:rPr>
          <w:rFonts w:ascii="Segoe UI" w:hAnsi="Segoe UI"/>
          <w:i/>
          <w:color w:val="64748B"/>
          <w:sz w:val="18"/>
        </w:rPr>
        <w:t>Figure 2: Real-time KPI Statistics Cards and Multi-Criteria Filtering Controls</w:t>
      </w:r>
    </w:p>
    <w:p>
      <w:pPr>
        <w:spacing w:before="40" w:after="80" w:line="276" w:lineRule="auto"/>
      </w:pPr>
      <w:r>
        <w:rPr>
          <w:rFonts w:ascii="Segoe UI" w:hAnsi="Segoe UI"/>
          <w:color w:val="1E293B"/>
          <w:sz w:val="20"/>
        </w:rPr>
        <w:t>Filtering Controls Available:</w:t>
        <w:br/>
        <w:t>1. Keyword Search: Type any keyword in Arabic or English (e.g., 'Cisco', 'خوادم', 'شبكات', 'PIC', 'وزارة الدفاع'). Results filter instantly.</w:t>
        <w:br/>
        <w:t>2. Account Manager Filter: Dropdown selector allowing each sales representative to isolate tenders relevant to their assigned accounts.</w:t>
        <w:br/>
        <w:t>3. Status Filter: Toggle between Active, Closing Soon, Closed, or Pending Inquiry.</w:t>
        <w:br/>
        <w:t>4. Source Filter: Filter by CAPT or Kuwait Al-Yawm specifically.</w:t>
        <w:br/>
        <w:t>5. Reset Filters: Instantly restores the default comprehensive view.</w:t>
      </w:r>
    </w:p>
    <w:p>
      <w:pPr>
        <w:keepNext/>
        <w:spacing w:before="240" w:after="80"/>
      </w:pPr>
      <w:r>
        <w:rPr>
          <w:rFonts w:ascii="Segoe UI" w:hAnsi="Segoe UI"/>
          <w:b/>
          <w:color w:val="1E40AF"/>
          <w:sz w:val="25"/>
        </w:rPr>
        <w:t>3.2 Strategic Opportunity Identification &amp; Scope Badges</w:t>
      </w:r>
    </w:p>
    <w:p>
      <w:pPr>
        <w:spacing w:before="40" w:after="80" w:line="276" w:lineRule="auto"/>
      </w:pPr>
      <w:r>
        <w:rPr>
          <w:rFonts w:ascii="Segoe UI" w:hAnsi="Segoe UI"/>
          <w:color w:val="1E293B"/>
          <w:sz w:val="20"/>
        </w:rPr>
        <w:t>The list view emphasizes high-yield opportunities by displaying technology tags and client badges directly on the card header. This allows the bidding team to scan through hundreds of tenders in seconds.</w:t>
      </w:r>
    </w:p>
    <w:p>
      <w:pPr>
        <w:spacing w:before="200" w:after="80"/>
        <w:jc w:val="center"/>
      </w:pPr>
      <w:r>
        <w:drawing>
          <wp:inline xmlns:a="http://schemas.openxmlformats.org/drawingml/2006/main" xmlns:pic="http://schemas.openxmlformats.org/drawingml/2006/picture">
            <wp:extent cx="5669280" cy="2971800"/>
            <wp:docPr id="3" name="Picture 3"/>
            <wp:cNvGraphicFramePr>
              <a:graphicFrameLocks noChangeAspect="1"/>
            </wp:cNvGraphicFramePr>
            <a:graphic>
              <a:graphicData uri="http://schemas.openxmlformats.org/drawingml/2006/picture">
                <pic:pic>
                  <pic:nvPicPr>
                    <pic:cNvPr id="0" name="03_strategic_tenders_list.png"/>
                    <pic:cNvPicPr/>
                  </pic:nvPicPr>
                  <pic:blipFill>
                    <a:blip r:embed="rId13"/>
                    <a:stretch>
                      <a:fillRect/>
                    </a:stretch>
                  </pic:blipFill>
                  <pic:spPr>
                    <a:xfrm>
                      <a:off x="0" y="0"/>
                      <a:ext cx="5669280" cy="2971800"/>
                    </a:xfrm>
                    <a:prstGeom prst="rect"/>
                  </pic:spPr>
                </pic:pic>
              </a:graphicData>
            </a:graphic>
          </wp:inline>
        </w:drawing>
      </w:r>
    </w:p>
    <w:p>
      <w:pPr>
        <w:spacing w:before="0" w:after="200"/>
        <w:jc w:val="center"/>
      </w:pPr>
      <w:r>
        <w:rPr>
          <w:rFonts w:ascii="Segoe UI" w:hAnsi="Segoe UI"/>
          <w:i/>
          <w:color w:val="64748B"/>
          <w:sz w:val="18"/>
        </w:rPr>
        <w:t>Figure 3: Strategic Tenders List with Technology Badges &amp; Assigned Account Owners</w:t>
      </w:r>
    </w:p>
    <w:p>
      <w:pPr>
        <w:keepNext/>
        <w:spacing w:before="240" w:after="80"/>
      </w:pPr>
      <w:r>
        <w:rPr>
          <w:rFonts w:ascii="Segoe UI" w:hAnsi="Segoe UI"/>
          <w:b/>
          <w:color w:val="1E40AF"/>
          <w:sz w:val="25"/>
        </w:rPr>
        <w:t>3.3 Deep Scope Modal &amp; Tender Requirements Analysis</w:t>
      </w:r>
    </w:p>
    <w:p>
      <w:pPr>
        <w:spacing w:before="40" w:after="80" w:line="276" w:lineRule="auto"/>
      </w:pPr>
      <w:r>
        <w:rPr>
          <w:rFonts w:ascii="Segoe UI" w:hAnsi="Segoe UI"/>
          <w:color w:val="1E293B"/>
          <w:sz w:val="20"/>
        </w:rPr>
        <w:t>Clicking 'عرض التفاصيل والاشتراطات' (View Details) opens the comprehensive Tender Deep-Dive Modal. Unlike generic portals that only show a brief title, TenderScout provides the full operational context:</w:t>
      </w:r>
    </w:p>
    <w:p>
      <w:pPr>
        <w:spacing w:before="40" w:after="80" w:line="276" w:lineRule="auto"/>
      </w:pPr>
      <w:r>
        <w:rPr>
          <w:rFonts w:ascii="Segoe UI" w:hAnsi="Segoe UI"/>
          <w:color w:val="1E293B"/>
          <w:sz w:val="20"/>
        </w:rPr>
        <w:t>• Official Issuing Entity: (e.g. Petrochemical Industries Company PIC, Ministry of Defence, Ministry of Health).</w:t>
        <w:br/>
        <w:t>• Technology Scope &amp; KBM Fit: Specific equipment models, manufacturer requirements (Cisco, IBM Maximo, Dell/HPE), and managed service expectations.</w:t>
        <w:br/>
        <w:t>• Commercial &amp; Bidding Milestones: Closing date, Pre-tender technical meeting date, and Inquiry deadline.</w:t>
        <w:br/>
        <w:t>• Financial Requirements: Bid bond amount (الكفالة الأولية) and document purchase fee (ثمن الوثائق).</w:t>
        <w:br/>
        <w:t>• Submission Channel &amp; Location: Exact tender box number, gate location, or online e-procurement link.</w:t>
      </w:r>
    </w:p>
    <w:p>
      <w:pPr>
        <w:spacing w:before="200" w:after="80"/>
        <w:jc w:val="center"/>
      </w:pPr>
      <w:r>
        <w:drawing>
          <wp:inline xmlns:a="http://schemas.openxmlformats.org/drawingml/2006/main" xmlns:pic="http://schemas.openxmlformats.org/drawingml/2006/picture">
            <wp:extent cx="5669280" cy="5979319"/>
            <wp:docPr id="4" name="Picture 4"/>
            <wp:cNvGraphicFramePr>
              <a:graphicFrameLocks noChangeAspect="1"/>
            </wp:cNvGraphicFramePr>
            <a:graphic>
              <a:graphicData uri="http://schemas.openxmlformats.org/drawingml/2006/picture">
                <pic:pic>
                  <pic:nvPicPr>
                    <pic:cNvPr id="0" name="04_modal_mna19_cisco.png"/>
                    <pic:cNvPicPr/>
                  </pic:nvPicPr>
                  <pic:blipFill>
                    <a:blip r:embed="rId14"/>
                    <a:stretch>
                      <a:fillRect/>
                    </a:stretch>
                  </pic:blipFill>
                  <pic:spPr>
                    <a:xfrm>
                      <a:off x="0" y="0"/>
                      <a:ext cx="5669280" cy="5979319"/>
                    </a:xfrm>
                    <a:prstGeom prst="rect"/>
                  </pic:spPr>
                </pic:pic>
              </a:graphicData>
            </a:graphic>
          </wp:inline>
        </w:drawing>
      </w:r>
    </w:p>
    <w:p>
      <w:pPr>
        <w:spacing w:before="0" w:after="200"/>
        <w:jc w:val="center"/>
      </w:pPr>
      <w:r>
        <w:rPr>
          <w:rFonts w:ascii="Segoe UI" w:hAnsi="Segoe UI"/>
          <w:i/>
          <w:color w:val="64748B"/>
          <w:sz w:val="18"/>
        </w:rPr>
        <w:t>Figure 4: Modal View - PIC Tender MNA/19/2026 for Cisco Managed Network Services</w:t>
      </w:r>
    </w:p>
    <w:p>
      <w:pPr>
        <w:spacing w:before="200" w:after="80"/>
        <w:jc w:val="center"/>
      </w:pPr>
      <w:r>
        <w:drawing>
          <wp:inline xmlns:a="http://schemas.openxmlformats.org/drawingml/2006/main" xmlns:pic="http://schemas.openxmlformats.org/drawingml/2006/picture">
            <wp:extent cx="5669280" cy="5979319"/>
            <wp:docPr id="5" name="Picture 5"/>
            <wp:cNvGraphicFramePr>
              <a:graphicFrameLocks noChangeAspect="1"/>
            </wp:cNvGraphicFramePr>
            <a:graphic>
              <a:graphicData uri="http://schemas.openxmlformats.org/drawingml/2006/picture">
                <pic:pic>
                  <pic:nvPicPr>
                    <pic:cNvPr id="0" name="05_modal_mna24_ibm.png"/>
                    <pic:cNvPicPr/>
                  </pic:nvPicPr>
                  <pic:blipFill>
                    <a:blip r:embed="rId15"/>
                    <a:stretch>
                      <a:fillRect/>
                    </a:stretch>
                  </pic:blipFill>
                  <pic:spPr>
                    <a:xfrm>
                      <a:off x="0" y="0"/>
                      <a:ext cx="5669280" cy="5979319"/>
                    </a:xfrm>
                    <a:prstGeom prst="rect"/>
                  </pic:spPr>
                </pic:pic>
              </a:graphicData>
            </a:graphic>
          </wp:inline>
        </w:drawing>
      </w:r>
    </w:p>
    <w:p>
      <w:pPr>
        <w:spacing w:before="0" w:after="200"/>
        <w:jc w:val="center"/>
      </w:pPr>
      <w:r>
        <w:rPr>
          <w:rFonts w:ascii="Segoe UI" w:hAnsi="Segoe UI"/>
          <w:i/>
          <w:color w:val="64748B"/>
          <w:sz w:val="18"/>
        </w:rPr>
        <w:t>Figure 5: Modal View - PIC Tender MNA/24/2026 for IBM Maximo Enterprise Asset Management</w:t>
      </w:r>
    </w:p>
    <w:p>
      <w:pPr>
        <w:spacing w:before="200" w:after="80"/>
        <w:jc w:val="center"/>
      </w:pPr>
      <w:r>
        <w:drawing>
          <wp:inline xmlns:a="http://schemas.openxmlformats.org/drawingml/2006/main" xmlns:pic="http://schemas.openxmlformats.org/drawingml/2006/picture">
            <wp:extent cx="5669280" cy="5979319"/>
            <wp:docPr id="6" name="Picture 6"/>
            <wp:cNvGraphicFramePr>
              <a:graphicFrameLocks noChangeAspect="1"/>
            </wp:cNvGraphicFramePr>
            <a:graphic>
              <a:graphicData uri="http://schemas.openxmlformats.org/drawingml/2006/picture">
                <pic:pic>
                  <pic:nvPicPr>
                    <pic:cNvPr id="0" name="06_modal_mod_servers.png"/>
                    <pic:cNvPicPr/>
                  </pic:nvPicPr>
                  <pic:blipFill>
                    <a:blip r:embed="rId16"/>
                    <a:stretch>
                      <a:fillRect/>
                    </a:stretch>
                  </pic:blipFill>
                  <pic:spPr>
                    <a:xfrm>
                      <a:off x="0" y="0"/>
                      <a:ext cx="5669280" cy="5979319"/>
                    </a:xfrm>
                    <a:prstGeom prst="rect"/>
                  </pic:spPr>
                </pic:pic>
              </a:graphicData>
            </a:graphic>
          </wp:inline>
        </w:drawing>
      </w:r>
    </w:p>
    <w:p>
      <w:pPr>
        <w:spacing w:before="0" w:after="200"/>
        <w:jc w:val="center"/>
      </w:pPr>
      <w:r>
        <w:rPr>
          <w:rFonts w:ascii="Segoe UI" w:hAnsi="Segoe UI"/>
          <w:i/>
          <w:color w:val="64748B"/>
          <w:sz w:val="18"/>
        </w:rPr>
        <w:t>Figure 6: Modal View - Ministry of Defence Practice 24181118110 for Enterprise Servers</w:t>
      </w:r>
    </w:p>
    <w:p>
      <w:pPr>
        <w:keepNext/>
        <w:spacing w:before="240" w:after="80"/>
      </w:pPr>
      <w:r>
        <w:rPr>
          <w:rFonts w:ascii="Segoe UI" w:hAnsi="Segoe UI"/>
          <w:b/>
          <w:color w:val="1E40AF"/>
          <w:sz w:val="25"/>
        </w:rPr>
        <w:t>3.4 Account Manager Portfolio Filtering &amp; Owner Reassignment</w:t>
      </w:r>
    </w:p>
    <w:p>
      <w:pPr>
        <w:spacing w:before="40" w:after="80" w:line="276" w:lineRule="auto"/>
      </w:pPr>
      <w:r>
        <w:rPr>
          <w:rFonts w:ascii="Segoe UI" w:hAnsi="Segoe UI"/>
          <w:color w:val="1E293B"/>
          <w:sz w:val="20"/>
        </w:rPr>
        <w:t>Every tender is automatically mapped to the appropriate KBM Account Manager based on the client entity. Sales reps can filter by their name to view only their portfolio (e.g., Abrar Al-Qallaf for Oil Sector &amp; MEW accounts, Eiman Ashkanani for Ministry of Defence, Banking, and key Ministries).</w:t>
      </w:r>
    </w:p>
    <w:p>
      <w:pPr>
        <w:spacing w:before="200" w:after="80"/>
        <w:jc w:val="center"/>
      </w:pPr>
      <w:r>
        <w:drawing>
          <wp:inline xmlns:a="http://schemas.openxmlformats.org/drawingml/2006/main" xmlns:pic="http://schemas.openxmlformats.org/drawingml/2006/picture">
            <wp:extent cx="5669280" cy="2971800"/>
            <wp:docPr id="7" name="Picture 7"/>
            <wp:cNvGraphicFramePr>
              <a:graphicFrameLocks noChangeAspect="1"/>
            </wp:cNvGraphicFramePr>
            <a:graphic>
              <a:graphicData uri="http://schemas.openxmlformats.org/drawingml/2006/picture">
                <pic:pic>
                  <pic:nvPicPr>
                    <pic:cNvPr id="0" name="07_filtered_by_account_manager.png"/>
                    <pic:cNvPicPr/>
                  </pic:nvPicPr>
                  <pic:blipFill>
                    <a:blip r:embed="rId17"/>
                    <a:stretch>
                      <a:fillRect/>
                    </a:stretch>
                  </pic:blipFill>
                  <pic:spPr>
                    <a:xfrm>
                      <a:off x="0" y="0"/>
                      <a:ext cx="5669280" cy="2971800"/>
                    </a:xfrm>
                    <a:prstGeom prst="rect"/>
                  </pic:spPr>
                </pic:pic>
              </a:graphicData>
            </a:graphic>
          </wp:inline>
        </w:drawing>
      </w:r>
    </w:p>
    <w:p>
      <w:pPr>
        <w:spacing w:before="0" w:after="200"/>
        <w:jc w:val="center"/>
      </w:pPr>
      <w:r>
        <w:rPr>
          <w:rFonts w:ascii="Segoe UI" w:hAnsi="Segoe UI"/>
          <w:i/>
          <w:color w:val="64748B"/>
          <w:sz w:val="18"/>
        </w:rPr>
        <w:t>Figure 7: Filtered View for Account Manager Abrar Al-Qallaf showing Assigned Strategic Pipeline</w:t>
      </w:r>
    </w:p>
    <w:p>
      <w:pPr>
        <w:spacing w:before="40" w:after="80" w:line="276" w:lineRule="auto"/>
      </w:pPr>
      <w:r>
        <w:rPr>
          <w:rFonts w:ascii="Segoe UI" w:hAnsi="Segoe UI"/>
          <w:color w:val="1E293B"/>
          <w:sz w:val="20"/>
        </w:rPr>
        <w:t>Reassigning Account Ownership:</w:t>
        <w:br/>
        <w:t>The interface includes a quick reassignment feature. If an account manager changes or an opportunity falls under another team member's domain, authorized team members can update the assigned owner directly in the database with immediate synchronization.</w:t>
      </w:r>
    </w:p>
    <w:p>
      <w:pPr>
        <w:keepNext/>
        <w:spacing w:before="320" w:after="120"/>
      </w:pPr>
      <w:r>
        <w:rPr>
          <w:rFonts w:ascii="Segoe UI" w:hAnsi="Segoe UI"/>
          <w:b/>
          <w:color w:val="0F2642"/>
          <w:sz w:val="30"/>
        </w:rPr>
        <w:t>4. KBM Account Manager Assignment Matrix</w:t>
      </w:r>
    </w:p>
    <w:p>
      <w:pPr>
        <w:spacing w:before="40" w:after="80" w:line="276" w:lineRule="auto"/>
      </w:pPr>
      <w:r>
        <w:rPr>
          <w:rFonts w:ascii="Segoe UI" w:hAnsi="Segoe UI"/>
          <w:color w:val="1E293B"/>
          <w:sz w:val="20"/>
        </w:rPr>
        <w:t>In accordance with executive management directives and the KBM Technology Pipeline Review, all client accounts have been reconciled. Specifically:</w:t>
        <w:br/>
        <w:t>• Transitions: Accounts previously managed by Wajih Fahad have been transitioned to Abrar Al-Qallaf.</w:t>
        <w:br/>
        <w:t>• Transitions: Accounts previously managed by Ghaloum or Ahmed Ismail have been transitioned to Eiman Ashkanani.</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2642"/>
            <w:tcMar>
              <w:top w:w="120" w:type="dxa"/>
              <w:bottom w:w="120" w:type="dxa"/>
              <w:left w:w="140" w:type="dxa"/>
              <w:right w:w="140" w:type="dxa"/>
            </w:tcMar>
          </w:tcPr>
          <w:p>
            <w:r>
              <w:rPr>
                <w:b/>
                <w:color w:val="FFFFFF"/>
                <w:sz w:val="19"/>
              </w:rPr>
              <w:t>Account Manager</w:t>
            </w:r>
          </w:p>
        </w:tc>
        <w:tc>
          <w:tcPr>
            <w:tcW w:type="dxa" w:w="3312"/>
            <w:shd w:fill="0F2642"/>
            <w:tcMar>
              <w:top w:w="120" w:type="dxa"/>
              <w:bottom w:w="120" w:type="dxa"/>
              <w:left w:w="140" w:type="dxa"/>
              <w:right w:w="140" w:type="dxa"/>
            </w:tcMar>
          </w:tcPr>
          <w:p>
            <w:r>
              <w:rPr>
                <w:b/>
                <w:color w:val="FFFFFF"/>
                <w:sz w:val="19"/>
              </w:rPr>
              <w:t>Assigned Key Accounts &amp; Sectors</w:t>
            </w:r>
          </w:p>
        </w:tc>
        <w:tc>
          <w:tcPr>
            <w:tcW w:type="dxa" w:w="3312"/>
            <w:shd w:fill="0F2642"/>
            <w:tcMar>
              <w:top w:w="120" w:type="dxa"/>
              <w:bottom w:w="120" w:type="dxa"/>
              <w:left w:w="140" w:type="dxa"/>
              <w:right w:w="140" w:type="dxa"/>
            </w:tcMar>
          </w:tcPr>
          <w:p>
            <w:r>
              <w:rPr>
                <w:b/>
                <w:color w:val="FFFFFF"/>
                <w:sz w:val="19"/>
              </w:rPr>
              <w:t>Transition &amp; Strategic Focus</w:t>
            </w:r>
          </w:p>
        </w:tc>
      </w:tr>
      <w:tr>
        <w:tc>
          <w:tcPr>
            <w:tcW w:type="dxa" w:w="2592"/>
            <w:shd w:fill="F8FAFC"/>
            <w:tcMar>
              <w:top w:w="100" w:type="dxa"/>
              <w:bottom w:w="100" w:type="dxa"/>
              <w:left w:w="120" w:type="dxa"/>
              <w:right w:w="120" w:type="dxa"/>
            </w:tcMar>
          </w:tcPr>
          <w:p>
            <w:r>
              <w:rPr>
                <w:b/>
                <w:color w:val="0F2642"/>
                <w:sz w:val="18"/>
              </w:rPr>
              <w:t>Abrar Al-Qallaf</w:t>
            </w:r>
          </w:p>
        </w:tc>
        <w:tc>
          <w:tcPr>
            <w:tcW w:type="dxa" w:w="3744"/>
            <w:shd w:fill="F8FAFC"/>
            <w:tcMar>
              <w:top w:w="100" w:type="dxa"/>
              <w:bottom w:w="100" w:type="dxa"/>
              <w:left w:w="120" w:type="dxa"/>
              <w:right w:w="120" w:type="dxa"/>
            </w:tcMar>
          </w:tcPr>
          <w:p>
            <w:r>
              <w:rPr>
                <w:color w:val="1E293B"/>
                <w:sz w:val="18"/>
              </w:rPr>
              <w:t>KPC, KOC, KNPC, PIC, KUFPEC, KGOC, MEW (Electricity &amp; Water), Aviation</w:t>
            </w:r>
          </w:p>
        </w:tc>
        <w:tc>
          <w:tcPr>
            <w:tcW w:type="dxa" w:w="2880"/>
            <w:shd w:fill="F8FAFC"/>
            <w:tcMar>
              <w:top w:w="100" w:type="dxa"/>
              <w:bottom w:w="100" w:type="dxa"/>
              <w:left w:w="120" w:type="dxa"/>
              <w:right w:w="120" w:type="dxa"/>
            </w:tcMar>
          </w:tcPr>
          <w:p>
            <w:r>
              <w:rPr>
                <w:color w:val="1E293B"/>
                <w:sz w:val="18"/>
              </w:rPr>
              <w:t>Includes all Wajih Fahad transitioned oil &amp; energy accounts</w:t>
            </w:r>
          </w:p>
        </w:tc>
      </w:tr>
      <w:tr>
        <w:tc>
          <w:tcPr>
            <w:tcW w:type="dxa" w:w="2592"/>
            <w:shd w:fill="FFFFFF"/>
            <w:tcMar>
              <w:top w:w="100" w:type="dxa"/>
              <w:bottom w:w="100" w:type="dxa"/>
              <w:left w:w="120" w:type="dxa"/>
              <w:right w:w="120" w:type="dxa"/>
            </w:tcMar>
          </w:tcPr>
          <w:p>
            <w:r>
              <w:rPr>
                <w:b/>
                <w:color w:val="0F2642"/>
                <w:sz w:val="18"/>
              </w:rPr>
              <w:t>Eiman Ashkanani</w:t>
            </w:r>
          </w:p>
        </w:tc>
        <w:tc>
          <w:tcPr>
            <w:tcW w:type="dxa" w:w="3744"/>
            <w:shd w:fill="FFFFFF"/>
            <w:tcMar>
              <w:top w:w="100" w:type="dxa"/>
              <w:bottom w:w="100" w:type="dxa"/>
              <w:left w:w="120" w:type="dxa"/>
              <w:right w:w="120" w:type="dxa"/>
            </w:tcMar>
          </w:tcPr>
          <w:p>
            <w:r>
              <w:rPr>
                <w:color w:val="1E293B"/>
                <w:sz w:val="18"/>
              </w:rPr>
              <w:t>Ministry of Defence (MOD), Banking (CBK, NBK, KFH), Telecommunications, MOI</w:t>
            </w:r>
          </w:p>
        </w:tc>
        <w:tc>
          <w:tcPr>
            <w:tcW w:type="dxa" w:w="2880"/>
            <w:shd w:fill="FFFFFF"/>
            <w:tcMar>
              <w:top w:w="100" w:type="dxa"/>
              <w:bottom w:w="100" w:type="dxa"/>
              <w:left w:w="120" w:type="dxa"/>
              <w:right w:w="120" w:type="dxa"/>
            </w:tcMar>
          </w:tcPr>
          <w:p>
            <w:r>
              <w:rPr>
                <w:color w:val="1E293B"/>
                <w:sz w:val="18"/>
              </w:rPr>
              <w:t>Includes all Ghaloum &amp; Ahmed Ismail transitioned accounts</w:t>
            </w:r>
          </w:p>
        </w:tc>
      </w:tr>
      <w:tr>
        <w:tc>
          <w:tcPr>
            <w:tcW w:type="dxa" w:w="2592"/>
            <w:shd w:fill="F8FAFC"/>
            <w:tcMar>
              <w:top w:w="100" w:type="dxa"/>
              <w:bottom w:w="100" w:type="dxa"/>
              <w:left w:w="120" w:type="dxa"/>
              <w:right w:w="120" w:type="dxa"/>
            </w:tcMar>
          </w:tcPr>
          <w:p>
            <w:r>
              <w:rPr>
                <w:b/>
                <w:color w:val="0F2642"/>
                <w:sz w:val="18"/>
              </w:rPr>
              <w:t>Reem Al-Otaibi</w:t>
            </w:r>
          </w:p>
        </w:tc>
        <w:tc>
          <w:tcPr>
            <w:tcW w:type="dxa" w:w="3744"/>
            <w:shd w:fill="F8FAFC"/>
            <w:tcMar>
              <w:top w:w="100" w:type="dxa"/>
              <w:bottom w:w="100" w:type="dxa"/>
              <w:left w:w="120" w:type="dxa"/>
              <w:right w:w="120" w:type="dxa"/>
            </w:tcMar>
          </w:tcPr>
          <w:p>
            <w:r>
              <w:rPr>
                <w:color w:val="1E293B"/>
                <w:sz w:val="18"/>
              </w:rPr>
              <w:t>Ministry of Health (MOH), Public Authority for Industry (PAI), Education</w:t>
            </w:r>
          </w:p>
        </w:tc>
        <w:tc>
          <w:tcPr>
            <w:tcW w:type="dxa" w:w="2880"/>
            <w:shd w:fill="F8FAFC"/>
            <w:tcMar>
              <w:top w:w="100" w:type="dxa"/>
              <w:bottom w:w="100" w:type="dxa"/>
              <w:left w:w="120" w:type="dxa"/>
              <w:right w:w="120" w:type="dxa"/>
            </w:tcMar>
          </w:tcPr>
          <w:p>
            <w:r>
              <w:rPr>
                <w:color w:val="1E293B"/>
                <w:sz w:val="18"/>
              </w:rPr>
              <w:t>Healthcare systems, medical informatics, regulatory bodies</w:t>
            </w:r>
          </w:p>
        </w:tc>
      </w:tr>
      <w:tr>
        <w:tc>
          <w:tcPr>
            <w:tcW w:type="dxa" w:w="2592"/>
            <w:shd w:fill="FFFFFF"/>
            <w:tcMar>
              <w:top w:w="100" w:type="dxa"/>
              <w:bottom w:w="100" w:type="dxa"/>
              <w:left w:w="120" w:type="dxa"/>
              <w:right w:w="120" w:type="dxa"/>
            </w:tcMar>
          </w:tcPr>
          <w:p>
            <w:r>
              <w:rPr>
                <w:b/>
                <w:color w:val="0F2642"/>
                <w:sz w:val="18"/>
              </w:rPr>
              <w:t>Faisal Al-Mutawa</w:t>
            </w:r>
          </w:p>
        </w:tc>
        <w:tc>
          <w:tcPr>
            <w:tcW w:type="dxa" w:w="3744"/>
            <w:shd w:fill="FFFFFF"/>
            <w:tcMar>
              <w:top w:w="100" w:type="dxa"/>
              <w:bottom w:w="100" w:type="dxa"/>
              <w:left w:w="120" w:type="dxa"/>
              <w:right w:w="120" w:type="dxa"/>
            </w:tcMar>
          </w:tcPr>
          <w:p>
            <w:r>
              <w:rPr>
                <w:color w:val="1E293B"/>
                <w:sz w:val="18"/>
              </w:rPr>
              <w:t>Ministry of Finance (MOF), KERP, Customs, Civil Service Commission</w:t>
            </w:r>
          </w:p>
        </w:tc>
        <w:tc>
          <w:tcPr>
            <w:tcW w:type="dxa" w:w="2880"/>
            <w:shd w:fill="FFFFFF"/>
            <w:tcMar>
              <w:top w:w="100" w:type="dxa"/>
              <w:bottom w:w="100" w:type="dxa"/>
              <w:left w:w="120" w:type="dxa"/>
              <w:right w:w="120" w:type="dxa"/>
            </w:tcMar>
          </w:tcPr>
          <w:p>
            <w:r>
              <w:rPr>
                <w:color w:val="1E293B"/>
                <w:sz w:val="18"/>
              </w:rPr>
              <w:t>Enterprise ERP, financial clearing systems, government datacenter</w:t>
            </w:r>
          </w:p>
        </w:tc>
      </w:tr>
      <w:tr>
        <w:tc>
          <w:tcPr>
            <w:tcW w:type="dxa" w:w="2592"/>
            <w:shd w:fill="F8FAFC"/>
            <w:tcMar>
              <w:top w:w="100" w:type="dxa"/>
              <w:bottom w:w="100" w:type="dxa"/>
              <w:left w:w="120" w:type="dxa"/>
              <w:right w:w="120" w:type="dxa"/>
            </w:tcMar>
          </w:tcPr>
          <w:p>
            <w:r>
              <w:rPr>
                <w:b/>
                <w:color w:val="0F2642"/>
                <w:sz w:val="18"/>
              </w:rPr>
              <w:t>Unassigned / General Pool</w:t>
            </w:r>
          </w:p>
        </w:tc>
        <w:tc>
          <w:tcPr>
            <w:tcW w:type="dxa" w:w="3744"/>
            <w:shd w:fill="F8FAFC"/>
            <w:tcMar>
              <w:top w:w="100" w:type="dxa"/>
              <w:bottom w:w="100" w:type="dxa"/>
              <w:left w:w="120" w:type="dxa"/>
              <w:right w:w="120" w:type="dxa"/>
            </w:tcMar>
          </w:tcPr>
          <w:p>
            <w:r>
              <w:rPr>
                <w:color w:val="1E293B"/>
                <w:sz w:val="18"/>
              </w:rPr>
              <w:t>Newly announced municipal bodies and non-mapped entities</w:t>
            </w:r>
          </w:p>
        </w:tc>
        <w:tc>
          <w:tcPr>
            <w:tcW w:type="dxa" w:w="2880"/>
            <w:shd w:fill="F8FAFC"/>
            <w:tcMar>
              <w:top w:w="100" w:type="dxa"/>
              <w:bottom w:w="100" w:type="dxa"/>
              <w:left w:w="120" w:type="dxa"/>
              <w:right w:w="120" w:type="dxa"/>
            </w:tcMar>
          </w:tcPr>
          <w:p>
            <w:r>
              <w:rPr>
                <w:color w:val="1E293B"/>
                <w:sz w:val="18"/>
              </w:rPr>
              <w:t>Open for assignment by Technology Sales Lead</w:t>
            </w:r>
          </w:p>
        </w:tc>
      </w:tr>
    </w:tbl>
    <w:p>
      <w:pPr>
        <w:spacing w:before="120" w:after="160"/>
      </w:pPr>
    </w:p>
    <w:p>
      <w:pPr>
        <w:keepNext/>
        <w:spacing w:before="320" w:after="120"/>
      </w:pPr>
      <w:r>
        <w:rPr>
          <w:rFonts w:ascii="Segoe UI" w:hAnsi="Segoe UI"/>
          <w:b/>
          <w:color w:val="0F2642"/>
          <w:sz w:val="30"/>
        </w:rPr>
        <w:t>5. Automated Daily Refresh Schedule</w:t>
      </w:r>
    </w:p>
    <w:p>
      <w:pPr>
        <w:spacing w:before="40" w:after="80" w:line="276" w:lineRule="auto"/>
      </w:pPr>
      <w:r>
        <w:rPr>
          <w:rFonts w:ascii="Segoe UI" w:hAnsi="Segoe UI"/>
          <w:color w:val="1E293B"/>
          <w:sz w:val="20"/>
        </w:rPr>
        <w:t>To ensure zero lag between government gazette publication and sales pipeline action, the system executes an automated morning scan every day:</w:t>
      </w:r>
    </w:p>
    <w:p>
      <w:pPr>
        <w:spacing w:before="40" w:after="80" w:line="276" w:lineRule="auto"/>
      </w:pPr>
      <w:r>
        <w:rPr>
          <w:rFonts w:ascii="Segoe UI" w:hAnsi="Segoe UI"/>
          <w:color w:val="1E293B"/>
          <w:sz w:val="20"/>
        </w:rPr>
        <w:t>1. Schedule: 08:00 AM Kuwait Time (05:00 UTC) every morning.</w:t>
        <w:br/>
        <w:t>2. Cloud Automation Engine: GitHub Actions Scheduled Cron Workflow (.github/workflows/daily_scan.yml).</w:t>
        <w:br/>
        <w:t>3. Gazette Sync: Authenticates with Kuwait Al-Yawm, inspects latest gazette issues, downloads the tenders supplement PDF, and extracts text using pdfplumber.</w:t>
        <w:br/>
        <w:t>4. CAPT Sync: Scrapes the live opening and active tenders board from capt.gov.kw.</w:t>
        <w:br/>
        <w:t>5. Smart Incremental Merging: New tenders are seamlessly inserted with strategic tags; existing tenders receive updated closing dates; customized account owner assignments remain preserved.</w:t>
        <w:br/>
        <w:t>6. On-Demand Manual Refresh: Users can click 'Refresh Data' in the portal header or trigger a manual run on GitHub Actions at any time.</w:t>
      </w:r>
    </w:p>
    <w:p>
      <w:pPr>
        <w:keepNext/>
        <w:spacing w:before="320" w:after="120"/>
      </w:pPr>
      <w:r>
        <w:rPr>
          <w:rFonts w:ascii="Segoe UI" w:hAnsi="Segoe UI"/>
          <w:b/>
          <w:color w:val="0F2642"/>
          <w:sz w:val="30"/>
        </w:rPr>
        <w:t>6. System Governance &amp; Support</w:t>
      </w:r>
    </w:p>
    <w:p>
      <w:pPr>
        <w:spacing w:before="40" w:after="80" w:line="276" w:lineRule="auto"/>
      </w:pPr>
      <w:r>
        <w:rPr>
          <w:rFonts w:ascii="Segoe UI" w:hAnsi="Segoe UI"/>
          <w:color w:val="1E293B"/>
          <w:sz w:val="20"/>
        </w:rPr>
        <w:t>For system support, feature requests, or new account mapping rules, please contact the KBM Technology Platform Team:</w:t>
        <w:br/>
        <w:t>• Production Platform: https://kbm-tenderscout.azurewebsites.net</w:t>
        <w:br/>
        <w:t>• Codebase &amp; Issue Tracker: https://github.com/6439144/KBM_TenderScout</w:t>
        <w:br/>
        <w:t>• Platform Architecture: Python 3.12, FastAPI, Playwright Headless, Azure App Service (F1 Linux)</w:t>
      </w:r>
    </w:p>
    <w:tbl>
      <w:tblPr>
        <w:tblW w:type="auto" w:w="0"/>
        <w:jc w:val="center"/>
        <w:tblLayout w:type="fixed"/>
        <w:tblLook w:firstColumn="1" w:firstRow="1" w:lastColumn="0" w:lastRow="0" w:noHBand="0" w:noVBand="1" w:val="04A0"/>
      </w:tblPr>
      <w:tblGrid>
        <w:gridCol w:w="9936"/>
      </w:tblGrid>
      <w:tr>
        <w:tc>
          <w:tcPr>
            <w:tcW w:type="dxa" w:w="9216"/>
            <w:shd w:fill="EFF6FF"/>
            <w:tcMar>
              <w:top w:w="160" w:type="dxa"/>
              <w:bottom w:w="160" w:type="dxa"/>
              <w:left w:w="220" w:type="dxa"/>
              <w:right w:w="200" w:type="dxa"/>
            </w:tcMar>
            <w:tcBorders>
              <w:left w:val="single" w:sz="24" w:space="0" w:color="2563EB"/>
              <w:top w:val="none"/>
              <w:right w:val="none"/>
              <w:bottom w:val="none"/>
            </w:tcBorders>
          </w:tcPr>
          <w:p>
            <w:pPr>
              <w:spacing w:before="40" w:after="80"/>
            </w:pPr>
            <w:r>
              <w:rPr>
                <w:rFonts w:ascii="Segoe UI" w:hAnsi="Segoe UI"/>
                <w:b/>
                <w:color w:val="1E40AF"/>
                <w:sz w:val="21"/>
              </w:rPr>
              <w:t>📌 Best Practice Recommendation / توصيات الاستخدام الأمثل</w:t>
              <w:br/>
            </w:r>
            <w:r>
              <w:rPr>
                <w:rFonts w:ascii="Segoe UI" w:hAnsi="Segoe UI"/>
                <w:color w:val="1E293B"/>
                <w:sz w:val="19"/>
              </w:rPr>
              <w:t>Please bookmark the Azure URL in your daily browser favorites.</w:t>
            </w:r>
          </w:p>
          <w:p>
            <w:pPr>
              <w:spacing w:before="40" w:after="40"/>
            </w:pPr>
            <w:r>
              <w:rPr>
                <w:rFonts w:ascii="Segoe UI" w:hAnsi="Segoe UI"/>
                <w:color w:val="1E293B"/>
                <w:sz w:val="19"/>
              </w:rPr>
              <w:t>Account managers are requested to review their filtered view each morning at 08:15 AM to capture upcoming bids well ahead of the pre-tender meeting deadlines.</w:t>
            </w:r>
          </w:p>
        </w:tc>
      </w:tr>
    </w:tbl>
    <w:p>
      <w:pPr>
        <w:spacing w:before="80" w:after="12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Confidential - KBM Internal Operations | Live Platform: https://kbm-tenderscout.azurewebsites.net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KBM TenderScout™ | User Guide &amp;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