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after="80"/>
      </w:pPr>
      <w:r>
        <w:rPr>
          <w:rFonts w:ascii="Arial" w:hAnsi="Arial"/>
          <w:b/>
          <w:color w:val="1E3A8A"/>
          <w:sz w:val="48"/>
        </w:rPr>
        <w:t>KBM Procurement &amp; Tender Management Platform</w:t>
      </w:r>
    </w:p>
    <w:p>
      <w:pPr>
        <w:spacing w:after="400"/>
      </w:pPr>
      <w:r>
        <w:rPr>
          <w:rFonts w:ascii="Calibri" w:hAnsi="Calibri"/>
          <w:color w:val="475569"/>
          <w:sz w:val="26"/>
        </w:rPr>
        <w:t>Comprehensive Software Architecture &amp; System Design Document (SADD)</w:t>
        <w:br/>
        <w:t>With Embedded Visual Diagrams &amp; Complete BRD Traceability Matrix</w:t>
      </w:r>
    </w:p>
    <w:tbl>
      <w:tblPr>
        <w:tblW w:type="auto" w:w="0"/>
        <w:jc w:val="center"/>
        <w:tblLayout w:type="fixed"/>
        <w:tblLook w:firstColumn="1" w:firstRow="1" w:lastColumn="0" w:lastRow="0" w:noHBand="0" w:noVBand="1" w:val="04A0"/>
      </w:tblPr>
      <w:tblGrid>
        <w:gridCol w:w="9360"/>
      </w:tblGrid>
      <w:tr>
        <w:tc>
          <w:tcPr>
            <w:tcW w:type="dxa" w:w="9360"/>
            <w:shd w:fill="EFF6FF"/>
            <w:tcMar>
              <w:top w:w="140" w:type="dxa"/>
              <w:bottom w:w="140" w:type="dxa"/>
              <w:left w:w="180" w:type="dxa"/>
              <w:right w:w="180" w:type="dxa"/>
            </w:tcMar>
          </w:tcPr>
          <w:p>
            <w:r>
              <w:rPr>
                <w:rFonts w:ascii="Calibri" w:hAnsi="Calibri"/>
                <w:b/>
                <w:color w:val="1E3A8A"/>
                <w:sz w:val="21"/>
              </w:rPr>
              <w:t>📌 Document Release &amp; Regulatory Metadata</w:t>
              <w:br/>
            </w:r>
            <w:r>
              <w:rPr>
                <w:rFonts w:ascii="Calibri" w:hAnsi="Calibri"/>
                <w:color w:val="1E293B"/>
                <w:sz w:val="19"/>
              </w:rPr>
              <w:t>• Document Identifier: KBM-ARCH-SPEC-2026-V1.0</w:t>
              <w:br/>
              <w:t>• Target Solution: KBM Multi-Tenant Procurement SaaS Platform</w:t>
              <w:br/>
              <w:t>• Regulatory Framework: State of Kuwait Public Tenders Law No. 49/2016</w:t>
              <w:br/>
              <w:t>• Business Requirements Document Reference: MOI Tender Platform BRD v0.1</w:t>
              <w:br/>
              <w:t>• Active Azure Environment: rg-kbm-platform (West Europe) | App Service + Azure Cosmos DB Free Tier</w:t>
              <w:br/>
              <w:t>• Classification: Executive / Engineering Confidential</w:t>
            </w:r>
          </w:p>
        </w:tc>
      </w:tr>
    </w:tbl>
    <w:p/>
    <w:p>
      <w:pPr>
        <w:pStyle w:val="Heading1"/>
      </w:pPr>
      <w:r>
        <w:rPr>
          <w:rFonts w:ascii="Arial" w:hAnsi="Arial"/>
          <w:color w:val="1E3A8A"/>
        </w:rPr>
        <w:t>1. Executive Summary &amp; System Vision</w:t>
      </w:r>
    </w:p>
    <w:p>
      <w:r>
        <w:t>The KBM Platform is an enterprise SaaS procurement and tender management system engineered for government entities, ministries, and enterprise clients. It addresses the entire lifecycle of public practices (الممارسات) and public tenders (المناقصات) under State of Kuwait Law No. 49/2016, providing end-to-end digitisation from departmental request intake to pre-contract oversight by the State Audit Bureau (ديوان المحاسبة) and Undersecretary contract execution.</w:t>
      </w:r>
    </w:p>
    <w:p>
      <w:r>
        <w:t>The platform implements a zero-cost bootstrap model ($0.00/month) backed by Azure Cosmos DB Free Tier (1,000 RU/s shared, 25 GB storage) and Azure App Service, while maintaining explicit production gates for enterprise container autoscaling and Microsoft Commercial Marketplace SaaS Fulfillment v2.</w:t>
      </w:r>
    </w:p>
    <w:p>
      <w:pPr>
        <w:pStyle w:val="Heading1"/>
      </w:pPr>
      <w:r>
        <w:rPr>
          <w:rFonts w:ascii="Arial" w:hAnsi="Arial"/>
          <w:color w:val="1E3A8A"/>
        </w:rPr>
        <w:t>2. Business Requirements Document (BRD) Alignment &amp; Scope</w:t>
      </w:r>
    </w:p>
    <w:p>
      <w:r>
        <w:t>The system architecture is strictly derived from the Ministry of Interior (MOI) Tender Platform Business Requirements Document (BRD v0.1) and historical Ministry Excel workflow trackers. The business scope encompasses 4 primary operational dimensions:</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E3A8A"/>
            <w:tcMar>
              <w:top w:w="140" w:type="dxa"/>
              <w:bottom w:w="140" w:type="dxa"/>
              <w:left w:w="150" w:type="dxa"/>
              <w:right w:w="150" w:type="dxa"/>
            </w:tcMar>
          </w:tcPr>
          <w:p>
            <w:pPr>
              <w:jc w:val="left"/>
            </w:pPr>
            <w:r>
              <w:rPr>
                <w:rFonts w:ascii="Calibri" w:hAnsi="Calibri"/>
                <w:b/>
                <w:color w:val="FFFFFF"/>
                <w:sz w:val="19"/>
              </w:rPr>
              <w:t>BRD Scope Area</w:t>
            </w:r>
          </w:p>
        </w:tc>
        <w:tc>
          <w:tcPr>
            <w:tcW w:type="dxa" w:w="2880"/>
            <w:shd w:fill="1E3A8A"/>
            <w:tcMar>
              <w:top w:w="140" w:type="dxa"/>
              <w:bottom w:w="140" w:type="dxa"/>
              <w:left w:w="150" w:type="dxa"/>
              <w:right w:w="150" w:type="dxa"/>
            </w:tcMar>
          </w:tcPr>
          <w:p>
            <w:pPr>
              <w:jc w:val="left"/>
            </w:pPr>
            <w:r>
              <w:rPr>
                <w:rFonts w:ascii="Calibri" w:hAnsi="Calibri"/>
                <w:b/>
                <w:color w:val="FFFFFF"/>
                <w:sz w:val="19"/>
              </w:rPr>
              <w:t>Statutory Stakeholder / Actor</w:t>
            </w:r>
          </w:p>
        </w:tc>
        <w:tc>
          <w:tcPr>
            <w:tcW w:type="dxa" w:w="3888"/>
            <w:shd w:fill="1E3A8A"/>
            <w:tcMar>
              <w:top w:w="140" w:type="dxa"/>
              <w:bottom w:w="140" w:type="dxa"/>
              <w:left w:w="150" w:type="dxa"/>
              <w:right w:w="150" w:type="dxa"/>
            </w:tcMar>
          </w:tcPr>
          <w:p>
            <w:pPr>
              <w:jc w:val="left"/>
            </w:pPr>
            <w:r>
              <w:rPr>
                <w:rFonts w:ascii="Calibri" w:hAnsi="Calibri"/>
                <w:b/>
                <w:color w:val="FFFFFF"/>
                <w:sz w:val="19"/>
              </w:rPr>
              <w:t>Core Business Objective</w:t>
            </w:r>
          </w:p>
        </w:tc>
      </w:tr>
      <w:tr>
        <w:tc>
          <w:tcPr>
            <w:tcW w:type="dxa" w:w="2592"/>
            <w:shd w:fill="FFFFFF"/>
            <w:tcMar>
              <w:top w:w="100" w:type="dxa"/>
              <w:bottom w:w="100" w:type="dxa"/>
              <w:left w:w="140" w:type="dxa"/>
              <w:right w:w="140" w:type="dxa"/>
            </w:tcMar>
          </w:tcPr>
          <w:p>
            <w:pPr>
              <w:jc w:val="left"/>
            </w:pPr>
            <w:r>
              <w:rPr>
                <w:rFonts w:ascii="Calibri" w:hAnsi="Calibri"/>
                <w:color w:val="1E293B"/>
                <w:sz w:val="18"/>
              </w:rPr>
              <w:t>1. Request Intake &amp; Budgeting</w:t>
            </w:r>
          </w:p>
        </w:tc>
        <w:tc>
          <w:tcPr>
            <w:tcW w:type="dxa" w:w="2880"/>
            <w:shd w:fill="FFFFFF"/>
            <w:tcMar>
              <w:top w:w="100" w:type="dxa"/>
              <w:bottom w:w="100" w:type="dxa"/>
              <w:left w:w="140" w:type="dxa"/>
              <w:right w:w="140" w:type="dxa"/>
            </w:tcMar>
          </w:tcPr>
          <w:p>
            <w:pPr>
              <w:jc w:val="left"/>
            </w:pPr>
            <w:r>
              <w:rPr>
                <w:rFonts w:ascii="Calibri" w:hAnsi="Calibri"/>
                <w:color w:val="1E293B"/>
                <w:sz w:val="18"/>
              </w:rPr>
              <w:t>Requesting Ministry Sectors, CAIT, Ministry of Finance</w:t>
            </w:r>
          </w:p>
        </w:tc>
        <w:tc>
          <w:tcPr>
            <w:tcW w:type="dxa" w:w="3888"/>
            <w:shd w:fill="FFFFFF"/>
            <w:tcMar>
              <w:top w:w="100" w:type="dxa"/>
              <w:bottom w:w="100" w:type="dxa"/>
              <w:left w:w="140" w:type="dxa"/>
              <w:right w:w="140" w:type="dxa"/>
            </w:tcMar>
          </w:tcPr>
          <w:p>
            <w:pPr>
              <w:jc w:val="left"/>
            </w:pPr>
            <w:r>
              <w:rPr>
                <w:rFonts w:ascii="Calibri" w:hAnsi="Calibri"/>
                <w:color w:val="1E293B"/>
                <w:sz w:val="18"/>
              </w:rPr>
              <w:t>Automate electronic intake via Raslni G2G (FR-002) and paper General Manager letters with mandatory scanned attachments (FR-012, DOC-001).</w:t>
            </w:r>
          </w:p>
        </w:tc>
      </w:tr>
      <w:tr>
        <w:tc>
          <w:tcPr>
            <w:tcW w:type="dxa" w:w="2592"/>
            <w:shd w:fill="F8FAFC"/>
            <w:tcMar>
              <w:top w:w="100" w:type="dxa"/>
              <w:bottom w:w="100" w:type="dxa"/>
              <w:left w:w="140" w:type="dxa"/>
              <w:right w:w="140" w:type="dxa"/>
            </w:tcMar>
          </w:tcPr>
          <w:p>
            <w:pPr>
              <w:jc w:val="left"/>
            </w:pPr>
            <w:r>
              <w:rPr>
                <w:rFonts w:ascii="Calibri" w:hAnsi="Calibri"/>
                <w:color w:val="1E293B"/>
                <w:sz w:val="18"/>
              </w:rPr>
              <w:t>2. Tender Publishing &amp; Filtering</w:t>
            </w:r>
          </w:p>
        </w:tc>
        <w:tc>
          <w:tcPr>
            <w:tcW w:type="dxa" w:w="2880"/>
            <w:shd w:fill="F8FAFC"/>
            <w:tcMar>
              <w:top w:w="100" w:type="dxa"/>
              <w:bottom w:w="100" w:type="dxa"/>
              <w:left w:w="140" w:type="dxa"/>
              <w:right w:w="140" w:type="dxa"/>
            </w:tcMar>
          </w:tcPr>
          <w:p>
            <w:pPr>
              <w:jc w:val="left"/>
            </w:pPr>
            <w:r>
              <w:rPr>
                <w:rFonts w:ascii="Calibri" w:hAnsi="Calibri"/>
                <w:color w:val="1E293B"/>
                <w:sz w:val="18"/>
              </w:rPr>
              <w:t>Tender Department, CAPT, Ministry of Commerce (MoCI)</w:t>
            </w:r>
          </w:p>
        </w:tc>
        <w:tc>
          <w:tcPr>
            <w:tcW w:type="dxa" w:w="3888"/>
            <w:shd w:fill="F8FAFC"/>
            <w:tcMar>
              <w:top w:w="100" w:type="dxa"/>
              <w:bottom w:w="100" w:type="dxa"/>
              <w:left w:w="140" w:type="dxa"/>
              <w:right w:w="140" w:type="dxa"/>
            </w:tcMar>
          </w:tcPr>
          <w:p>
            <w:pPr>
              <w:jc w:val="left"/>
            </w:pPr>
            <w:r>
              <w:rPr>
                <w:rFonts w:ascii="Calibri" w:hAnsi="Calibri"/>
                <w:color w:val="1E293B"/>
                <w:sz w:val="18"/>
              </w:rPr>
              <w:t>Publish tenders with target MoCI activity codes and 3-grade rules (FR-019), enforcing server-side eligibility checks (FR-020, SEC-006).</w:t>
            </w:r>
          </w:p>
        </w:tc>
      </w:tr>
      <w:tr>
        <w:tc>
          <w:tcPr>
            <w:tcW w:type="dxa" w:w="2592"/>
            <w:shd w:fill="FFFFFF"/>
            <w:tcMar>
              <w:top w:w="100" w:type="dxa"/>
              <w:bottom w:w="100" w:type="dxa"/>
              <w:left w:w="140" w:type="dxa"/>
              <w:right w:w="140" w:type="dxa"/>
            </w:tcMar>
          </w:tcPr>
          <w:p>
            <w:pPr>
              <w:jc w:val="left"/>
            </w:pPr>
            <w:r>
              <w:rPr>
                <w:rFonts w:ascii="Calibri" w:hAnsi="Calibri"/>
                <w:color w:val="1E293B"/>
                <w:sz w:val="18"/>
              </w:rPr>
              <w:t>3. Vendor Qualification &amp; KNET</w:t>
            </w:r>
          </w:p>
        </w:tc>
        <w:tc>
          <w:tcPr>
            <w:tcW w:type="dxa" w:w="2880"/>
            <w:shd w:fill="FFFFFF"/>
            <w:tcMar>
              <w:top w:w="100" w:type="dxa"/>
              <w:bottom w:w="100" w:type="dxa"/>
              <w:left w:w="140" w:type="dxa"/>
              <w:right w:w="140" w:type="dxa"/>
            </w:tcMar>
          </w:tcPr>
          <w:p>
            <w:pPr>
              <w:jc w:val="left"/>
            </w:pPr>
            <w:r>
              <w:rPr>
                <w:rFonts w:ascii="Calibri" w:hAnsi="Calibri"/>
                <w:color w:val="1E293B"/>
                <w:sz w:val="18"/>
              </w:rPr>
              <w:t>Registered Commercial Vendors, Financial Affairs</w:t>
            </w:r>
          </w:p>
        </w:tc>
        <w:tc>
          <w:tcPr>
            <w:tcW w:type="dxa" w:w="3888"/>
            <w:shd w:fill="FFFFFF"/>
            <w:tcMar>
              <w:top w:w="100" w:type="dxa"/>
              <w:bottom w:w="100" w:type="dxa"/>
              <w:left w:w="140" w:type="dxa"/>
              <w:right w:w="140" w:type="dxa"/>
            </w:tcMar>
          </w:tcPr>
          <w:p>
            <w:pPr>
              <w:jc w:val="left"/>
            </w:pPr>
            <w:r>
              <w:rPr>
                <w:rFonts w:ascii="Calibri" w:hAnsi="Calibri"/>
                <w:color w:val="1E293B"/>
                <w:sz w:val="18"/>
              </w:rPr>
              <w:t>3-grade hierarchy (First, Second, Third), annual KNET subscriptions (FR-017), official printable receipts (DOC-002), and suspensions (FR-013).</w:t>
            </w:r>
          </w:p>
        </w:tc>
      </w:tr>
      <w:tr>
        <w:tc>
          <w:tcPr>
            <w:tcW w:type="dxa" w:w="2592"/>
            <w:shd w:fill="F8FAFC"/>
            <w:tcMar>
              <w:top w:w="100" w:type="dxa"/>
              <w:bottom w:w="100" w:type="dxa"/>
              <w:left w:w="140" w:type="dxa"/>
              <w:right w:w="140" w:type="dxa"/>
            </w:tcMar>
          </w:tcPr>
          <w:p>
            <w:pPr>
              <w:jc w:val="left"/>
            </w:pPr>
            <w:r>
              <w:rPr>
                <w:rFonts w:ascii="Calibri" w:hAnsi="Calibri"/>
                <w:color w:val="1E293B"/>
                <w:sz w:val="18"/>
              </w:rPr>
              <w:t>4. Statutory Workflow &amp; Audit</w:t>
            </w:r>
          </w:p>
        </w:tc>
        <w:tc>
          <w:tcPr>
            <w:tcW w:type="dxa" w:w="2880"/>
            <w:shd w:fill="F8FAFC"/>
            <w:tcMar>
              <w:top w:w="100" w:type="dxa"/>
              <w:bottom w:w="100" w:type="dxa"/>
              <w:left w:w="140" w:type="dxa"/>
              <w:right w:w="140" w:type="dxa"/>
            </w:tcMar>
          </w:tcPr>
          <w:p>
            <w:pPr>
              <w:jc w:val="left"/>
            </w:pPr>
            <w:r>
              <w:rPr>
                <w:rFonts w:ascii="Calibri" w:hAnsi="Calibri"/>
                <w:color w:val="1E293B"/>
                <w:sz w:val="18"/>
              </w:rPr>
              <w:t>Purchase Comm., Fatwa &amp; Legislation, State Audit Bureau</w:t>
            </w:r>
          </w:p>
        </w:tc>
        <w:tc>
          <w:tcPr>
            <w:tcW w:type="dxa" w:w="3888"/>
            <w:shd w:fill="F8FAFC"/>
            <w:tcMar>
              <w:top w:w="100" w:type="dxa"/>
              <w:bottom w:w="100" w:type="dxa"/>
              <w:left w:w="140" w:type="dxa"/>
              <w:right w:w="140" w:type="dxa"/>
            </w:tcMar>
          </w:tcPr>
          <w:p>
            <w:pPr>
              <w:jc w:val="left"/>
            </w:pPr>
            <w:r>
              <w:rPr>
                <w:rFonts w:ascii="Calibri" w:hAnsi="Calibri"/>
                <w:color w:val="1E293B"/>
                <w:sz w:val="18"/>
              </w:rPr>
              <w:t>Orchestrate versioned 8-step Practices and 35-step Tenders workflows with SLA tracking, return loops, and SHA-256 immutable audit logging (AUD-001).</w:t>
            </w:r>
          </w:p>
        </w:tc>
      </w:tr>
    </w:tbl>
    <w:p/>
    <w:p>
      <w:pPr>
        <w:pStyle w:val="Heading1"/>
      </w:pPr>
      <w:r>
        <w:rPr>
          <w:rFonts w:ascii="Arial" w:hAnsi="Arial"/>
          <w:color w:val="1E3A8A"/>
        </w:rPr>
        <w:t>3. Comprehensive BRD Traceability &amp; Verification Matrix</w:t>
      </w:r>
    </w:p>
    <w:p>
      <w:r>
        <w:t>Every requirement from the BRD is formally mapped to its corresponding architectural bounded context, microservice repository, Azure Cosmos DB container, and automated verification test suite:</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152"/>
            <w:shd w:fill="1E3A8A"/>
            <w:tcMar>
              <w:top w:w="140" w:type="dxa"/>
              <w:bottom w:w="140" w:type="dxa"/>
              <w:left w:w="150" w:type="dxa"/>
              <w:right w:w="150" w:type="dxa"/>
            </w:tcMar>
          </w:tcPr>
          <w:p>
            <w:pPr>
              <w:jc w:val="left"/>
            </w:pPr>
            <w:r>
              <w:rPr>
                <w:rFonts w:ascii="Calibri" w:hAnsi="Calibri"/>
                <w:b/>
                <w:color w:val="FFFFFF"/>
                <w:sz w:val="19"/>
              </w:rPr>
              <w:t>Req ID</w:t>
            </w:r>
          </w:p>
        </w:tc>
        <w:tc>
          <w:tcPr>
            <w:tcW w:type="dxa" w:w="2304"/>
            <w:shd w:fill="1E3A8A"/>
            <w:tcMar>
              <w:top w:w="140" w:type="dxa"/>
              <w:bottom w:w="140" w:type="dxa"/>
              <w:left w:w="150" w:type="dxa"/>
              <w:right w:w="150" w:type="dxa"/>
            </w:tcMar>
          </w:tcPr>
          <w:p>
            <w:pPr>
              <w:jc w:val="left"/>
            </w:pPr>
            <w:r>
              <w:rPr>
                <w:rFonts w:ascii="Calibri" w:hAnsi="Calibri"/>
                <w:b/>
                <w:color w:val="FFFFFF"/>
                <w:sz w:val="19"/>
              </w:rPr>
              <w:t>Requirement Title</w:t>
            </w:r>
          </w:p>
        </w:tc>
        <w:tc>
          <w:tcPr>
            <w:tcW w:type="dxa" w:w="1584"/>
            <w:shd w:fill="1E3A8A"/>
            <w:tcMar>
              <w:top w:w="140" w:type="dxa"/>
              <w:bottom w:w="140" w:type="dxa"/>
              <w:left w:w="150" w:type="dxa"/>
              <w:right w:w="150" w:type="dxa"/>
            </w:tcMar>
          </w:tcPr>
          <w:p>
            <w:pPr>
              <w:jc w:val="left"/>
            </w:pPr>
            <w:r>
              <w:rPr>
                <w:rFonts w:ascii="Calibri" w:hAnsi="Calibri"/>
                <w:b/>
                <w:color w:val="FFFFFF"/>
                <w:sz w:val="19"/>
              </w:rPr>
              <w:t>BRD Source</w:t>
            </w:r>
          </w:p>
        </w:tc>
        <w:tc>
          <w:tcPr>
            <w:tcW w:type="dxa" w:w="2160"/>
            <w:shd w:fill="1E3A8A"/>
            <w:tcMar>
              <w:top w:w="140" w:type="dxa"/>
              <w:bottom w:w="140" w:type="dxa"/>
              <w:left w:w="150" w:type="dxa"/>
              <w:right w:w="150" w:type="dxa"/>
            </w:tcMar>
          </w:tcPr>
          <w:p>
            <w:pPr>
              <w:jc w:val="left"/>
            </w:pPr>
            <w:r>
              <w:rPr>
                <w:rFonts w:ascii="Calibri" w:hAnsi="Calibri"/>
                <w:b/>
                <w:color w:val="FFFFFF"/>
                <w:sz w:val="19"/>
              </w:rPr>
              <w:t>Architecture Component / Service</w:t>
            </w:r>
          </w:p>
        </w:tc>
        <w:tc>
          <w:tcPr>
            <w:tcW w:type="dxa" w:w="1584"/>
            <w:shd w:fill="1E3A8A"/>
            <w:tcMar>
              <w:top w:w="140" w:type="dxa"/>
              <w:bottom w:w="140" w:type="dxa"/>
              <w:left w:w="150" w:type="dxa"/>
              <w:right w:w="150" w:type="dxa"/>
            </w:tcMar>
          </w:tcPr>
          <w:p>
            <w:pPr>
              <w:jc w:val="left"/>
            </w:pPr>
            <w:r>
              <w:rPr>
                <w:rFonts w:ascii="Calibri" w:hAnsi="Calibri"/>
                <w:b/>
                <w:color w:val="FFFFFF"/>
                <w:sz w:val="19"/>
              </w:rPr>
              <w:t>Cosmos DB Container</w:t>
            </w:r>
          </w:p>
        </w:tc>
        <w:tc>
          <w:tcPr>
            <w:tcW w:type="dxa" w:w="1728"/>
            <w:shd w:fill="1E3A8A"/>
            <w:tcMar>
              <w:top w:w="140" w:type="dxa"/>
              <w:bottom w:w="140" w:type="dxa"/>
              <w:left w:w="150" w:type="dxa"/>
              <w:right w:w="150" w:type="dxa"/>
            </w:tcMar>
          </w:tcPr>
          <w:p>
            <w:pPr>
              <w:jc w:val="left"/>
            </w:pPr>
            <w:r>
              <w:rPr>
                <w:rFonts w:ascii="Calibri" w:hAnsi="Calibri"/>
                <w:b/>
                <w:color w:val="FFFFFF"/>
                <w:sz w:val="19"/>
              </w:rPr>
              <w:t>Verification Test</w:t>
            </w:r>
          </w:p>
        </w:tc>
      </w:tr>
      <w:tr>
        <w:tc>
          <w:tcPr>
            <w:tcW w:type="dxa" w:w="1152"/>
            <w:shd w:fill="FFFFFF"/>
            <w:tcMar>
              <w:top w:w="100" w:type="dxa"/>
              <w:bottom w:w="100" w:type="dxa"/>
              <w:left w:w="140" w:type="dxa"/>
              <w:right w:w="140" w:type="dxa"/>
            </w:tcMar>
          </w:tcPr>
          <w:p>
            <w:pPr>
              <w:jc w:val="left"/>
            </w:pPr>
            <w:r>
              <w:rPr>
                <w:rFonts w:ascii="Calibri" w:hAnsi="Calibri"/>
                <w:color w:val="1E293B"/>
                <w:sz w:val="18"/>
              </w:rPr>
              <w:t>FR-001</w:t>
            </w:r>
          </w:p>
        </w:tc>
        <w:tc>
          <w:tcPr>
            <w:tcW w:type="dxa" w:w="2304"/>
            <w:shd w:fill="FFFFFF"/>
            <w:tcMar>
              <w:top w:w="100" w:type="dxa"/>
              <w:bottom w:w="100" w:type="dxa"/>
              <w:left w:w="140" w:type="dxa"/>
              <w:right w:w="140" w:type="dxa"/>
            </w:tcMar>
          </w:tcPr>
          <w:p>
            <w:pPr>
              <w:jc w:val="left"/>
            </w:pPr>
            <w:r>
              <w:rPr>
                <w:rFonts w:ascii="Calibri" w:hAnsi="Calibri"/>
                <w:color w:val="1E293B"/>
                <w:sz w:val="18"/>
              </w:rPr>
              <w:t>Tender Request Submission</w:t>
            </w:r>
          </w:p>
        </w:tc>
        <w:tc>
          <w:tcPr>
            <w:tcW w:type="dxa" w:w="1584"/>
            <w:shd w:fill="FFFFFF"/>
            <w:tcMar>
              <w:top w:w="100" w:type="dxa"/>
              <w:bottom w:w="100" w:type="dxa"/>
              <w:left w:w="140" w:type="dxa"/>
              <w:right w:w="140" w:type="dxa"/>
            </w:tcMar>
          </w:tcPr>
          <w:p>
            <w:pPr>
              <w:jc w:val="left"/>
            </w:pPr>
            <w:r>
              <w:rPr>
                <w:rFonts w:ascii="Calibri" w:hAnsi="Calibri"/>
                <w:color w:val="1E293B"/>
                <w:sz w:val="18"/>
              </w:rPr>
              <w:t>BRD-CONFIRMED</w:t>
            </w:r>
          </w:p>
        </w:tc>
        <w:tc>
          <w:tcPr>
            <w:tcW w:type="dxa" w:w="2160"/>
            <w:shd w:fill="FFFFFF"/>
            <w:tcMar>
              <w:top w:w="100" w:type="dxa"/>
              <w:bottom w:w="100" w:type="dxa"/>
              <w:left w:w="140" w:type="dxa"/>
              <w:right w:w="140" w:type="dxa"/>
            </w:tcMar>
          </w:tcPr>
          <w:p>
            <w:pPr>
              <w:jc w:val="left"/>
            </w:pPr>
            <w:r>
              <w:rPr>
                <w:rFonts w:ascii="Calibri" w:hAnsi="Calibri"/>
                <w:color w:val="1E293B"/>
                <w:sz w:val="18"/>
              </w:rPr>
              <w:t>kbm-platform-procurement-service</w:t>
            </w:r>
          </w:p>
        </w:tc>
        <w:tc>
          <w:tcPr>
            <w:tcW w:type="dxa" w:w="1584"/>
            <w:shd w:fill="FFFFFF"/>
            <w:tcMar>
              <w:top w:w="100" w:type="dxa"/>
              <w:bottom w:w="100" w:type="dxa"/>
              <w:left w:w="140" w:type="dxa"/>
              <w:right w:w="140" w:type="dxa"/>
            </w:tcMar>
          </w:tcPr>
          <w:p>
            <w:pPr>
              <w:jc w:val="left"/>
            </w:pPr>
            <w:r>
              <w:rPr>
                <w:rFonts w:ascii="Calibri" w:hAnsi="Calibri"/>
                <w:color w:val="1E293B"/>
                <w:sz w:val="18"/>
              </w:rPr>
              <w:t>Tenders (/tenantId)</w:t>
            </w:r>
          </w:p>
        </w:tc>
        <w:tc>
          <w:tcPr>
            <w:tcW w:type="dxa" w:w="1728"/>
            <w:shd w:fill="FFFFFF"/>
            <w:tcMar>
              <w:top w:w="100" w:type="dxa"/>
              <w:bottom w:w="100" w:type="dxa"/>
              <w:left w:w="140" w:type="dxa"/>
              <w:right w:w="140" w:type="dxa"/>
            </w:tcMar>
          </w:tcPr>
          <w:p>
            <w:pPr>
              <w:jc w:val="left"/>
            </w:pPr>
            <w:r>
              <w:rPr>
                <w:rFonts w:ascii="Calibri" w:hAnsi="Calibri"/>
                <w:color w:val="1E293B"/>
                <w:sz w:val="18"/>
              </w:rPr>
              <w:t>procurement-manager.test.js</w:t>
            </w:r>
          </w:p>
        </w:tc>
      </w:tr>
      <w:tr>
        <w:tc>
          <w:tcPr>
            <w:tcW w:type="dxa" w:w="1152"/>
            <w:shd w:fill="F8FAFC"/>
            <w:tcMar>
              <w:top w:w="100" w:type="dxa"/>
              <w:bottom w:w="100" w:type="dxa"/>
              <w:left w:w="140" w:type="dxa"/>
              <w:right w:w="140" w:type="dxa"/>
            </w:tcMar>
          </w:tcPr>
          <w:p>
            <w:pPr>
              <w:jc w:val="left"/>
            </w:pPr>
            <w:r>
              <w:rPr>
                <w:rFonts w:ascii="Calibri" w:hAnsi="Calibri"/>
                <w:color w:val="1E293B"/>
                <w:sz w:val="18"/>
              </w:rPr>
              <w:t>FR-002</w:t>
            </w:r>
          </w:p>
        </w:tc>
        <w:tc>
          <w:tcPr>
            <w:tcW w:type="dxa" w:w="2304"/>
            <w:shd w:fill="F8FAFC"/>
            <w:tcMar>
              <w:top w:w="100" w:type="dxa"/>
              <w:bottom w:w="100" w:type="dxa"/>
              <w:left w:w="140" w:type="dxa"/>
              <w:right w:w="140" w:type="dxa"/>
            </w:tcMar>
          </w:tcPr>
          <w:p>
            <w:pPr>
              <w:jc w:val="left"/>
            </w:pPr>
            <w:r>
              <w:rPr>
                <w:rFonts w:ascii="Calibri" w:hAnsi="Calibri"/>
                <w:color w:val="1E293B"/>
                <w:sz w:val="18"/>
              </w:rPr>
              <w:t>Raslni Electronic G2G Intake</w:t>
            </w:r>
          </w:p>
        </w:tc>
        <w:tc>
          <w:tcPr>
            <w:tcW w:type="dxa" w:w="1584"/>
            <w:shd w:fill="F8FAFC"/>
            <w:tcMar>
              <w:top w:w="100" w:type="dxa"/>
              <w:bottom w:w="100" w:type="dxa"/>
              <w:left w:w="140" w:type="dxa"/>
              <w:right w:w="140" w:type="dxa"/>
            </w:tcMar>
          </w:tcPr>
          <w:p>
            <w:pPr>
              <w:jc w:val="left"/>
            </w:pPr>
            <w:r>
              <w:rPr>
                <w:rFonts w:ascii="Calibri" w:hAnsi="Calibri"/>
                <w:color w:val="1E293B"/>
                <w:sz w:val="18"/>
              </w:rPr>
              <w:t>BRD-CONFIRMED</w:t>
            </w:r>
          </w:p>
        </w:tc>
        <w:tc>
          <w:tcPr>
            <w:tcW w:type="dxa" w:w="2160"/>
            <w:shd w:fill="F8FAFC"/>
            <w:tcMar>
              <w:top w:w="100" w:type="dxa"/>
              <w:bottom w:w="100" w:type="dxa"/>
              <w:left w:w="140" w:type="dxa"/>
              <w:right w:w="140" w:type="dxa"/>
            </w:tcMar>
          </w:tcPr>
          <w:p>
            <w:pPr>
              <w:jc w:val="left"/>
            </w:pPr>
            <w:r>
              <w:rPr>
                <w:rFonts w:ascii="Calibri" w:hAnsi="Calibri"/>
                <w:color w:val="1E293B"/>
                <w:sz w:val="18"/>
              </w:rPr>
              <w:t>kbm-platform-integration-service</w:t>
            </w:r>
          </w:p>
        </w:tc>
        <w:tc>
          <w:tcPr>
            <w:tcW w:type="dxa" w:w="1584"/>
            <w:shd w:fill="F8FAFC"/>
            <w:tcMar>
              <w:top w:w="100" w:type="dxa"/>
              <w:bottom w:w="100" w:type="dxa"/>
              <w:left w:w="140" w:type="dxa"/>
              <w:right w:w="140" w:type="dxa"/>
            </w:tcMar>
          </w:tcPr>
          <w:p>
            <w:pPr>
              <w:jc w:val="left"/>
            </w:pPr>
            <w:r>
              <w:rPr>
                <w:rFonts w:ascii="Calibri" w:hAnsi="Calibri"/>
                <w:color w:val="1E293B"/>
                <w:sz w:val="18"/>
              </w:rPr>
              <w:t>Tenders (/tenantId)</w:t>
            </w:r>
          </w:p>
        </w:tc>
        <w:tc>
          <w:tcPr>
            <w:tcW w:type="dxa" w:w="1728"/>
            <w:shd w:fill="F8FAFC"/>
            <w:tcMar>
              <w:top w:w="100" w:type="dxa"/>
              <w:bottom w:w="100" w:type="dxa"/>
              <w:left w:w="140" w:type="dxa"/>
              <w:right w:w="140" w:type="dxa"/>
            </w:tcMar>
          </w:tcPr>
          <w:p>
            <w:pPr>
              <w:jc w:val="left"/>
            </w:pPr>
            <w:r>
              <w:rPr>
                <w:rFonts w:ascii="Calibri" w:hAnsi="Calibri"/>
                <w:color w:val="1E293B"/>
                <w:sz w:val="18"/>
              </w:rPr>
              <w:t>integration-adapters.test.js</w:t>
            </w:r>
          </w:p>
        </w:tc>
      </w:tr>
      <w:tr>
        <w:tc>
          <w:tcPr>
            <w:tcW w:type="dxa" w:w="1152"/>
            <w:shd w:fill="FFFFFF"/>
            <w:tcMar>
              <w:top w:w="100" w:type="dxa"/>
              <w:bottom w:w="100" w:type="dxa"/>
              <w:left w:w="140" w:type="dxa"/>
              <w:right w:w="140" w:type="dxa"/>
            </w:tcMar>
          </w:tcPr>
          <w:p>
            <w:pPr>
              <w:jc w:val="left"/>
            </w:pPr>
            <w:r>
              <w:rPr>
                <w:rFonts w:ascii="Calibri" w:hAnsi="Calibri"/>
                <w:color w:val="1E293B"/>
                <w:sz w:val="18"/>
              </w:rPr>
              <w:t>FR-003</w:t>
            </w:r>
          </w:p>
        </w:tc>
        <w:tc>
          <w:tcPr>
            <w:tcW w:type="dxa" w:w="2304"/>
            <w:shd w:fill="FFFFFF"/>
            <w:tcMar>
              <w:top w:w="100" w:type="dxa"/>
              <w:bottom w:w="100" w:type="dxa"/>
              <w:left w:w="140" w:type="dxa"/>
              <w:right w:w="140" w:type="dxa"/>
            </w:tcMar>
          </w:tcPr>
          <w:p>
            <w:pPr>
              <w:jc w:val="left"/>
            </w:pPr>
            <w:r>
              <w:rPr>
                <w:rFonts w:ascii="Calibri" w:hAnsi="Calibri"/>
                <w:color w:val="1E293B"/>
                <w:sz w:val="18"/>
              </w:rPr>
              <w:t>Official GM Letter Intake</w:t>
            </w:r>
          </w:p>
        </w:tc>
        <w:tc>
          <w:tcPr>
            <w:tcW w:type="dxa" w:w="1584"/>
            <w:shd w:fill="FFFFFF"/>
            <w:tcMar>
              <w:top w:w="100" w:type="dxa"/>
              <w:bottom w:w="100" w:type="dxa"/>
              <w:left w:w="140" w:type="dxa"/>
              <w:right w:w="140" w:type="dxa"/>
            </w:tcMar>
          </w:tcPr>
          <w:p>
            <w:pPr>
              <w:jc w:val="left"/>
            </w:pPr>
            <w:r>
              <w:rPr>
                <w:rFonts w:ascii="Calibri" w:hAnsi="Calibri"/>
                <w:color w:val="1E293B"/>
                <w:sz w:val="18"/>
              </w:rPr>
              <w:t>BRD-CONFIRMED</w:t>
            </w:r>
          </w:p>
        </w:tc>
        <w:tc>
          <w:tcPr>
            <w:tcW w:type="dxa" w:w="2160"/>
            <w:shd w:fill="FFFFFF"/>
            <w:tcMar>
              <w:top w:w="100" w:type="dxa"/>
              <w:bottom w:w="100" w:type="dxa"/>
              <w:left w:w="140" w:type="dxa"/>
              <w:right w:w="140" w:type="dxa"/>
            </w:tcMar>
          </w:tcPr>
          <w:p>
            <w:pPr>
              <w:jc w:val="left"/>
            </w:pPr>
            <w:r>
              <w:rPr>
                <w:rFonts w:ascii="Calibri" w:hAnsi="Calibri"/>
                <w:color w:val="1E293B"/>
                <w:sz w:val="18"/>
              </w:rPr>
              <w:t>kbm-platform-procurement-service</w:t>
            </w:r>
          </w:p>
        </w:tc>
        <w:tc>
          <w:tcPr>
            <w:tcW w:type="dxa" w:w="1584"/>
            <w:shd w:fill="FFFFFF"/>
            <w:tcMar>
              <w:top w:w="100" w:type="dxa"/>
              <w:bottom w:w="100" w:type="dxa"/>
              <w:left w:w="140" w:type="dxa"/>
              <w:right w:w="140" w:type="dxa"/>
            </w:tcMar>
          </w:tcPr>
          <w:p>
            <w:pPr>
              <w:jc w:val="left"/>
            </w:pPr>
            <w:r>
              <w:rPr>
                <w:rFonts w:ascii="Calibri" w:hAnsi="Calibri"/>
                <w:color w:val="1E293B"/>
                <w:sz w:val="18"/>
              </w:rPr>
              <w:t>Tenders (/tenantId)</w:t>
            </w:r>
          </w:p>
        </w:tc>
        <w:tc>
          <w:tcPr>
            <w:tcW w:type="dxa" w:w="1728"/>
            <w:shd w:fill="FFFFFF"/>
            <w:tcMar>
              <w:top w:w="100" w:type="dxa"/>
              <w:bottom w:w="100" w:type="dxa"/>
              <w:left w:w="140" w:type="dxa"/>
              <w:right w:w="140" w:type="dxa"/>
            </w:tcMar>
          </w:tcPr>
          <w:p>
            <w:pPr>
              <w:jc w:val="left"/>
            </w:pPr>
            <w:r>
              <w:rPr>
                <w:rFonts w:ascii="Calibri" w:hAnsi="Calibri"/>
                <w:color w:val="1E293B"/>
                <w:sz w:val="18"/>
              </w:rPr>
              <w:t>procurement-manager.test.js</w:t>
            </w:r>
          </w:p>
        </w:tc>
      </w:tr>
      <w:tr>
        <w:tc>
          <w:tcPr>
            <w:tcW w:type="dxa" w:w="1152"/>
            <w:shd w:fill="F8FAFC"/>
            <w:tcMar>
              <w:top w:w="100" w:type="dxa"/>
              <w:bottom w:w="100" w:type="dxa"/>
              <w:left w:w="140" w:type="dxa"/>
              <w:right w:w="140" w:type="dxa"/>
            </w:tcMar>
          </w:tcPr>
          <w:p>
            <w:pPr>
              <w:jc w:val="left"/>
            </w:pPr>
            <w:r>
              <w:rPr>
                <w:rFonts w:ascii="Calibri" w:hAnsi="Calibri"/>
                <w:color w:val="1E293B"/>
                <w:sz w:val="18"/>
              </w:rPr>
              <w:t>FR-006</w:t>
            </w:r>
          </w:p>
        </w:tc>
        <w:tc>
          <w:tcPr>
            <w:tcW w:type="dxa" w:w="2304"/>
            <w:shd w:fill="F8FAFC"/>
            <w:tcMar>
              <w:top w:w="100" w:type="dxa"/>
              <w:bottom w:w="100" w:type="dxa"/>
              <w:left w:w="140" w:type="dxa"/>
              <w:right w:w="140" w:type="dxa"/>
            </w:tcMar>
          </w:tcPr>
          <w:p>
            <w:pPr>
              <w:jc w:val="left"/>
            </w:pPr>
            <w:r>
              <w:rPr>
                <w:rFonts w:ascii="Calibri" w:hAnsi="Calibri"/>
                <w:color w:val="1E293B"/>
                <w:sz w:val="18"/>
              </w:rPr>
              <w:t>KNET Tender Purchase</w:t>
            </w:r>
          </w:p>
        </w:tc>
        <w:tc>
          <w:tcPr>
            <w:tcW w:type="dxa" w:w="1584"/>
            <w:shd w:fill="F8FAFC"/>
            <w:tcMar>
              <w:top w:w="100" w:type="dxa"/>
              <w:bottom w:w="100" w:type="dxa"/>
              <w:left w:w="140" w:type="dxa"/>
              <w:right w:w="140" w:type="dxa"/>
            </w:tcMar>
          </w:tcPr>
          <w:p>
            <w:pPr>
              <w:jc w:val="left"/>
            </w:pPr>
            <w:r>
              <w:rPr>
                <w:rFonts w:ascii="Calibri" w:hAnsi="Calibri"/>
                <w:color w:val="1E293B"/>
                <w:sz w:val="18"/>
              </w:rPr>
              <w:t>BRD-CONFIRMED</w:t>
            </w:r>
          </w:p>
        </w:tc>
        <w:tc>
          <w:tcPr>
            <w:tcW w:type="dxa" w:w="2160"/>
            <w:shd w:fill="F8FAFC"/>
            <w:tcMar>
              <w:top w:w="100" w:type="dxa"/>
              <w:bottom w:w="100" w:type="dxa"/>
              <w:left w:w="140" w:type="dxa"/>
              <w:right w:w="140" w:type="dxa"/>
            </w:tcMar>
          </w:tcPr>
          <w:p>
            <w:pPr>
              <w:jc w:val="left"/>
            </w:pPr>
            <w:r>
              <w:rPr>
                <w:rFonts w:ascii="Calibri" w:hAnsi="Calibri"/>
                <w:color w:val="1E293B"/>
                <w:sz w:val="18"/>
              </w:rPr>
              <w:t>kbm-platform-payment-service</w:t>
            </w:r>
          </w:p>
        </w:tc>
        <w:tc>
          <w:tcPr>
            <w:tcW w:type="dxa" w:w="1584"/>
            <w:shd w:fill="F8FAFC"/>
            <w:tcMar>
              <w:top w:w="100" w:type="dxa"/>
              <w:bottom w:w="100" w:type="dxa"/>
              <w:left w:w="140" w:type="dxa"/>
              <w:right w:w="140" w:type="dxa"/>
            </w:tcMar>
          </w:tcPr>
          <w:p>
            <w:pPr>
              <w:jc w:val="left"/>
            </w:pPr>
            <w:r>
              <w:rPr>
                <w:rFonts w:ascii="Calibri" w:hAnsi="Calibri"/>
                <w:color w:val="1E293B"/>
                <w:sz w:val="18"/>
              </w:rPr>
              <w:t>Receipts (/tenantId)</w:t>
            </w:r>
          </w:p>
        </w:tc>
        <w:tc>
          <w:tcPr>
            <w:tcW w:type="dxa" w:w="1728"/>
            <w:shd w:fill="F8FAFC"/>
            <w:tcMar>
              <w:top w:w="100" w:type="dxa"/>
              <w:bottom w:w="100" w:type="dxa"/>
              <w:left w:w="140" w:type="dxa"/>
              <w:right w:w="140" w:type="dxa"/>
            </w:tcMar>
          </w:tcPr>
          <w:p>
            <w:pPr>
              <w:jc w:val="left"/>
            </w:pPr>
            <w:r>
              <w:rPr>
                <w:rFonts w:ascii="Calibri" w:hAnsi="Calibri"/>
                <w:color w:val="1E293B"/>
                <w:sz w:val="18"/>
              </w:rPr>
              <w:t>payment-manager.test.js</w:t>
            </w:r>
          </w:p>
        </w:tc>
      </w:tr>
      <w:tr>
        <w:tc>
          <w:tcPr>
            <w:tcW w:type="dxa" w:w="1152"/>
            <w:shd w:fill="FFFFFF"/>
            <w:tcMar>
              <w:top w:w="100" w:type="dxa"/>
              <w:bottom w:w="100" w:type="dxa"/>
              <w:left w:w="140" w:type="dxa"/>
              <w:right w:w="140" w:type="dxa"/>
            </w:tcMar>
          </w:tcPr>
          <w:p>
            <w:pPr>
              <w:jc w:val="left"/>
            </w:pPr>
            <w:r>
              <w:rPr>
                <w:rFonts w:ascii="Calibri" w:hAnsi="Calibri"/>
                <w:color w:val="1E293B"/>
                <w:sz w:val="18"/>
              </w:rPr>
              <w:t>FR-007</w:t>
            </w:r>
          </w:p>
        </w:tc>
        <w:tc>
          <w:tcPr>
            <w:tcW w:type="dxa" w:w="2304"/>
            <w:shd w:fill="FFFFFF"/>
            <w:tcMar>
              <w:top w:w="100" w:type="dxa"/>
              <w:bottom w:w="100" w:type="dxa"/>
              <w:left w:w="140" w:type="dxa"/>
              <w:right w:w="140" w:type="dxa"/>
            </w:tcMar>
          </w:tcPr>
          <w:p>
            <w:pPr>
              <w:jc w:val="left"/>
            </w:pPr>
            <w:r>
              <w:rPr>
                <w:rFonts w:ascii="Calibri" w:hAnsi="Calibri"/>
                <w:color w:val="1E293B"/>
                <w:sz w:val="18"/>
              </w:rPr>
              <w:t>Printable Purchase Receipt</w:t>
            </w:r>
          </w:p>
        </w:tc>
        <w:tc>
          <w:tcPr>
            <w:tcW w:type="dxa" w:w="1584"/>
            <w:shd w:fill="FFFFFF"/>
            <w:tcMar>
              <w:top w:w="100" w:type="dxa"/>
              <w:bottom w:w="100" w:type="dxa"/>
              <w:left w:w="140" w:type="dxa"/>
              <w:right w:w="140" w:type="dxa"/>
            </w:tcMar>
          </w:tcPr>
          <w:p>
            <w:pPr>
              <w:jc w:val="left"/>
            </w:pPr>
            <w:r>
              <w:rPr>
                <w:rFonts w:ascii="Calibri" w:hAnsi="Calibri"/>
                <w:color w:val="1E293B"/>
                <w:sz w:val="18"/>
              </w:rPr>
              <w:t>BRD-CONFIRMED</w:t>
            </w:r>
          </w:p>
        </w:tc>
        <w:tc>
          <w:tcPr>
            <w:tcW w:type="dxa" w:w="2160"/>
            <w:shd w:fill="FFFFFF"/>
            <w:tcMar>
              <w:top w:w="100" w:type="dxa"/>
              <w:bottom w:w="100" w:type="dxa"/>
              <w:left w:w="140" w:type="dxa"/>
              <w:right w:w="140" w:type="dxa"/>
            </w:tcMar>
          </w:tcPr>
          <w:p>
            <w:pPr>
              <w:jc w:val="left"/>
            </w:pPr>
            <w:r>
              <w:rPr>
                <w:rFonts w:ascii="Calibri" w:hAnsi="Calibri"/>
                <w:color w:val="1E293B"/>
                <w:sz w:val="18"/>
              </w:rPr>
              <w:t>kbm-platform-payment-service</w:t>
            </w:r>
          </w:p>
        </w:tc>
        <w:tc>
          <w:tcPr>
            <w:tcW w:type="dxa" w:w="1584"/>
            <w:shd w:fill="FFFFFF"/>
            <w:tcMar>
              <w:top w:w="100" w:type="dxa"/>
              <w:bottom w:w="100" w:type="dxa"/>
              <w:left w:w="140" w:type="dxa"/>
              <w:right w:w="140" w:type="dxa"/>
            </w:tcMar>
          </w:tcPr>
          <w:p>
            <w:pPr>
              <w:jc w:val="left"/>
            </w:pPr>
            <w:r>
              <w:rPr>
                <w:rFonts w:ascii="Calibri" w:hAnsi="Calibri"/>
                <w:color w:val="1E293B"/>
                <w:sz w:val="18"/>
              </w:rPr>
              <w:t>Receipts (/tenantId)</w:t>
            </w:r>
          </w:p>
        </w:tc>
        <w:tc>
          <w:tcPr>
            <w:tcW w:type="dxa" w:w="1728"/>
            <w:shd w:fill="FFFFFF"/>
            <w:tcMar>
              <w:top w:w="100" w:type="dxa"/>
              <w:bottom w:w="100" w:type="dxa"/>
              <w:left w:w="140" w:type="dxa"/>
              <w:right w:w="140" w:type="dxa"/>
            </w:tcMar>
          </w:tcPr>
          <w:p>
            <w:pPr>
              <w:jc w:val="left"/>
            </w:pPr>
            <w:r>
              <w:rPr>
                <w:rFonts w:ascii="Calibri" w:hAnsi="Calibri"/>
                <w:color w:val="1E293B"/>
                <w:sz w:val="18"/>
              </w:rPr>
              <w:t>payment-manager.test.js</w:t>
            </w:r>
          </w:p>
        </w:tc>
      </w:tr>
      <w:tr>
        <w:tc>
          <w:tcPr>
            <w:tcW w:type="dxa" w:w="1152"/>
            <w:shd w:fill="F8FAFC"/>
            <w:tcMar>
              <w:top w:w="100" w:type="dxa"/>
              <w:bottom w:w="100" w:type="dxa"/>
              <w:left w:w="140" w:type="dxa"/>
              <w:right w:w="140" w:type="dxa"/>
            </w:tcMar>
          </w:tcPr>
          <w:p>
            <w:pPr>
              <w:jc w:val="left"/>
            </w:pPr>
            <w:r>
              <w:rPr>
                <w:rFonts w:ascii="Calibri" w:hAnsi="Calibri"/>
                <w:color w:val="1E293B"/>
                <w:sz w:val="18"/>
              </w:rPr>
              <w:t>FR-009</w:t>
            </w:r>
          </w:p>
        </w:tc>
        <w:tc>
          <w:tcPr>
            <w:tcW w:type="dxa" w:w="2304"/>
            <w:shd w:fill="F8FAFC"/>
            <w:tcMar>
              <w:top w:w="100" w:type="dxa"/>
              <w:bottom w:w="100" w:type="dxa"/>
              <w:left w:w="140" w:type="dxa"/>
              <w:right w:w="140" w:type="dxa"/>
            </w:tcMar>
          </w:tcPr>
          <w:p>
            <w:pPr>
              <w:jc w:val="left"/>
            </w:pPr>
            <w:r>
              <w:rPr>
                <w:rFonts w:ascii="Calibri" w:hAnsi="Calibri"/>
                <w:color w:val="1E293B"/>
                <w:sz w:val="18"/>
              </w:rPr>
              <w:t>3-Grade Vendor Hierarchy</w:t>
            </w:r>
          </w:p>
        </w:tc>
        <w:tc>
          <w:tcPr>
            <w:tcW w:type="dxa" w:w="1584"/>
            <w:shd w:fill="F8FAFC"/>
            <w:tcMar>
              <w:top w:w="100" w:type="dxa"/>
              <w:bottom w:w="100" w:type="dxa"/>
              <w:left w:w="140" w:type="dxa"/>
              <w:right w:w="140" w:type="dxa"/>
            </w:tcMar>
          </w:tcPr>
          <w:p>
            <w:pPr>
              <w:jc w:val="left"/>
            </w:pPr>
            <w:r>
              <w:rPr>
                <w:rFonts w:ascii="Calibri" w:hAnsi="Calibri"/>
                <w:color w:val="1E293B"/>
                <w:sz w:val="18"/>
              </w:rPr>
              <w:t>BRD-CONFIRMED</w:t>
            </w:r>
          </w:p>
        </w:tc>
        <w:tc>
          <w:tcPr>
            <w:tcW w:type="dxa" w:w="2160"/>
            <w:shd w:fill="F8FAFC"/>
            <w:tcMar>
              <w:top w:w="100" w:type="dxa"/>
              <w:bottom w:w="100" w:type="dxa"/>
              <w:left w:w="140" w:type="dxa"/>
              <w:right w:w="140" w:type="dxa"/>
            </w:tcMar>
          </w:tcPr>
          <w:p>
            <w:pPr>
              <w:jc w:val="left"/>
            </w:pPr>
            <w:r>
              <w:rPr>
                <w:rFonts w:ascii="Calibri" w:hAnsi="Calibri"/>
                <w:color w:val="1E293B"/>
                <w:sz w:val="18"/>
              </w:rPr>
              <w:t>kbm-platform-vendor-service</w:t>
            </w:r>
          </w:p>
        </w:tc>
        <w:tc>
          <w:tcPr>
            <w:tcW w:type="dxa" w:w="1584"/>
            <w:shd w:fill="F8FAFC"/>
            <w:tcMar>
              <w:top w:w="100" w:type="dxa"/>
              <w:bottom w:w="100" w:type="dxa"/>
              <w:left w:w="140" w:type="dxa"/>
              <w:right w:w="140" w:type="dxa"/>
            </w:tcMar>
          </w:tcPr>
          <w:p>
            <w:pPr>
              <w:jc w:val="left"/>
            </w:pPr>
            <w:r>
              <w:rPr>
                <w:rFonts w:ascii="Calibri" w:hAnsi="Calibri"/>
                <w:color w:val="1E293B"/>
                <w:sz w:val="18"/>
              </w:rPr>
              <w:t>Vendors (/tenantId)</w:t>
            </w:r>
          </w:p>
        </w:tc>
        <w:tc>
          <w:tcPr>
            <w:tcW w:type="dxa" w:w="1728"/>
            <w:shd w:fill="F8FAFC"/>
            <w:tcMar>
              <w:top w:w="100" w:type="dxa"/>
              <w:bottom w:w="100" w:type="dxa"/>
              <w:left w:w="140" w:type="dxa"/>
              <w:right w:w="140" w:type="dxa"/>
            </w:tcMar>
          </w:tcPr>
          <w:p>
            <w:pPr>
              <w:jc w:val="left"/>
            </w:pPr>
            <w:r>
              <w:rPr>
                <w:rFonts w:ascii="Calibri" w:hAnsi="Calibri"/>
                <w:color w:val="1E293B"/>
                <w:sz w:val="18"/>
              </w:rPr>
              <w:t>vendor-manager.test.js</w:t>
            </w:r>
          </w:p>
        </w:tc>
      </w:tr>
      <w:tr>
        <w:tc>
          <w:tcPr>
            <w:tcW w:type="dxa" w:w="1152"/>
            <w:shd w:fill="FFFFFF"/>
            <w:tcMar>
              <w:top w:w="100" w:type="dxa"/>
              <w:bottom w:w="100" w:type="dxa"/>
              <w:left w:w="140" w:type="dxa"/>
              <w:right w:w="140" w:type="dxa"/>
            </w:tcMar>
          </w:tcPr>
          <w:p>
            <w:pPr>
              <w:jc w:val="left"/>
            </w:pPr>
            <w:r>
              <w:rPr>
                <w:rFonts w:ascii="Calibri" w:hAnsi="Calibri"/>
                <w:color w:val="1E293B"/>
                <w:sz w:val="18"/>
              </w:rPr>
              <w:t>FR-010</w:t>
            </w:r>
          </w:p>
        </w:tc>
        <w:tc>
          <w:tcPr>
            <w:tcW w:type="dxa" w:w="2304"/>
            <w:shd w:fill="FFFFFF"/>
            <w:tcMar>
              <w:top w:w="100" w:type="dxa"/>
              <w:bottom w:w="100" w:type="dxa"/>
              <w:left w:w="140" w:type="dxa"/>
              <w:right w:w="140" w:type="dxa"/>
            </w:tcMar>
          </w:tcPr>
          <w:p>
            <w:pPr>
              <w:jc w:val="left"/>
            </w:pPr>
            <w:r>
              <w:rPr>
                <w:rFonts w:ascii="Calibri" w:hAnsi="Calibri"/>
                <w:color w:val="1E293B"/>
                <w:sz w:val="18"/>
              </w:rPr>
              <w:t>Grade Upgrade Request</w:t>
            </w:r>
          </w:p>
        </w:tc>
        <w:tc>
          <w:tcPr>
            <w:tcW w:type="dxa" w:w="1584"/>
            <w:shd w:fill="FFFFFF"/>
            <w:tcMar>
              <w:top w:w="100" w:type="dxa"/>
              <w:bottom w:w="100" w:type="dxa"/>
              <w:left w:w="140" w:type="dxa"/>
              <w:right w:w="140" w:type="dxa"/>
            </w:tcMar>
          </w:tcPr>
          <w:p>
            <w:pPr>
              <w:jc w:val="left"/>
            </w:pPr>
            <w:r>
              <w:rPr>
                <w:rFonts w:ascii="Calibri" w:hAnsi="Calibri"/>
                <w:color w:val="1E293B"/>
                <w:sz w:val="18"/>
              </w:rPr>
              <w:t>BRD-CONFIRMED</w:t>
            </w:r>
          </w:p>
        </w:tc>
        <w:tc>
          <w:tcPr>
            <w:tcW w:type="dxa" w:w="2160"/>
            <w:shd w:fill="FFFFFF"/>
            <w:tcMar>
              <w:top w:w="100" w:type="dxa"/>
              <w:bottom w:w="100" w:type="dxa"/>
              <w:left w:w="140" w:type="dxa"/>
              <w:right w:w="140" w:type="dxa"/>
            </w:tcMar>
          </w:tcPr>
          <w:p>
            <w:pPr>
              <w:jc w:val="left"/>
            </w:pPr>
            <w:r>
              <w:rPr>
                <w:rFonts w:ascii="Calibri" w:hAnsi="Calibri"/>
                <w:color w:val="1E293B"/>
                <w:sz w:val="18"/>
              </w:rPr>
              <w:t>kbm-platform-vendor-service</w:t>
            </w:r>
          </w:p>
        </w:tc>
        <w:tc>
          <w:tcPr>
            <w:tcW w:type="dxa" w:w="1584"/>
            <w:shd w:fill="FFFFFF"/>
            <w:tcMar>
              <w:top w:w="100" w:type="dxa"/>
              <w:bottom w:w="100" w:type="dxa"/>
              <w:left w:w="140" w:type="dxa"/>
              <w:right w:w="140" w:type="dxa"/>
            </w:tcMar>
          </w:tcPr>
          <w:p>
            <w:pPr>
              <w:jc w:val="left"/>
            </w:pPr>
            <w:r>
              <w:rPr>
                <w:rFonts w:ascii="Calibri" w:hAnsi="Calibri"/>
                <w:color w:val="1E293B"/>
                <w:sz w:val="18"/>
              </w:rPr>
              <w:t>Vendors (/tenantId)</w:t>
            </w:r>
          </w:p>
        </w:tc>
        <w:tc>
          <w:tcPr>
            <w:tcW w:type="dxa" w:w="1728"/>
            <w:shd w:fill="FFFFFF"/>
            <w:tcMar>
              <w:top w:w="100" w:type="dxa"/>
              <w:bottom w:w="100" w:type="dxa"/>
              <w:left w:w="140" w:type="dxa"/>
              <w:right w:w="140" w:type="dxa"/>
            </w:tcMar>
          </w:tcPr>
          <w:p>
            <w:pPr>
              <w:jc w:val="left"/>
            </w:pPr>
            <w:r>
              <w:rPr>
                <w:rFonts w:ascii="Calibri" w:hAnsi="Calibri"/>
                <w:color w:val="1E293B"/>
                <w:sz w:val="18"/>
              </w:rPr>
              <w:t>vendor-manager.test.js</w:t>
            </w:r>
          </w:p>
        </w:tc>
      </w:tr>
      <w:tr>
        <w:tc>
          <w:tcPr>
            <w:tcW w:type="dxa" w:w="1152"/>
            <w:shd w:fill="F8FAFC"/>
            <w:tcMar>
              <w:top w:w="100" w:type="dxa"/>
              <w:bottom w:w="100" w:type="dxa"/>
              <w:left w:w="140" w:type="dxa"/>
              <w:right w:w="140" w:type="dxa"/>
            </w:tcMar>
          </w:tcPr>
          <w:p>
            <w:pPr>
              <w:jc w:val="left"/>
            </w:pPr>
            <w:r>
              <w:rPr>
                <w:rFonts w:ascii="Calibri" w:hAnsi="Calibri"/>
                <w:color w:val="1E293B"/>
                <w:sz w:val="18"/>
              </w:rPr>
              <w:t>FR-012</w:t>
            </w:r>
          </w:p>
        </w:tc>
        <w:tc>
          <w:tcPr>
            <w:tcW w:type="dxa" w:w="2304"/>
            <w:shd w:fill="F8FAFC"/>
            <w:tcMar>
              <w:top w:w="100" w:type="dxa"/>
              <w:bottom w:w="100" w:type="dxa"/>
              <w:left w:w="140" w:type="dxa"/>
              <w:right w:w="140" w:type="dxa"/>
            </w:tcMar>
          </w:tcPr>
          <w:p>
            <w:pPr>
              <w:jc w:val="left"/>
            </w:pPr>
            <w:r>
              <w:rPr>
                <w:rFonts w:ascii="Calibri" w:hAnsi="Calibri"/>
                <w:color w:val="1E293B"/>
                <w:sz w:val="18"/>
              </w:rPr>
              <w:t>Mandatory Scanned GM Letter</w:t>
            </w:r>
          </w:p>
        </w:tc>
        <w:tc>
          <w:tcPr>
            <w:tcW w:type="dxa" w:w="1584"/>
            <w:shd w:fill="F8FAFC"/>
            <w:tcMar>
              <w:top w:w="100" w:type="dxa"/>
              <w:bottom w:w="100" w:type="dxa"/>
              <w:left w:w="140" w:type="dxa"/>
              <w:right w:w="140" w:type="dxa"/>
            </w:tcMar>
          </w:tcPr>
          <w:p>
            <w:pPr>
              <w:jc w:val="left"/>
            </w:pPr>
            <w:r>
              <w:rPr>
                <w:rFonts w:ascii="Calibri" w:hAnsi="Calibri"/>
                <w:color w:val="1E293B"/>
                <w:sz w:val="18"/>
              </w:rPr>
              <w:t>BRD-CONFIRMED</w:t>
            </w:r>
          </w:p>
        </w:tc>
        <w:tc>
          <w:tcPr>
            <w:tcW w:type="dxa" w:w="2160"/>
            <w:shd w:fill="F8FAFC"/>
            <w:tcMar>
              <w:top w:w="100" w:type="dxa"/>
              <w:bottom w:w="100" w:type="dxa"/>
              <w:left w:w="140" w:type="dxa"/>
              <w:right w:w="140" w:type="dxa"/>
            </w:tcMar>
          </w:tcPr>
          <w:p>
            <w:pPr>
              <w:jc w:val="left"/>
            </w:pPr>
            <w:r>
              <w:rPr>
                <w:rFonts w:ascii="Calibri" w:hAnsi="Calibri"/>
                <w:color w:val="1E293B"/>
                <w:sz w:val="18"/>
              </w:rPr>
              <w:t>kbm-platform-procurement-service</w:t>
            </w:r>
          </w:p>
        </w:tc>
        <w:tc>
          <w:tcPr>
            <w:tcW w:type="dxa" w:w="1584"/>
            <w:shd w:fill="F8FAFC"/>
            <w:tcMar>
              <w:top w:w="100" w:type="dxa"/>
              <w:bottom w:w="100" w:type="dxa"/>
              <w:left w:w="140" w:type="dxa"/>
              <w:right w:w="140" w:type="dxa"/>
            </w:tcMar>
          </w:tcPr>
          <w:p>
            <w:pPr>
              <w:jc w:val="left"/>
            </w:pPr>
            <w:r>
              <w:rPr>
                <w:rFonts w:ascii="Calibri" w:hAnsi="Calibri"/>
                <w:color w:val="1E293B"/>
                <w:sz w:val="18"/>
              </w:rPr>
              <w:t>Blob: kbmbootstrapsa</w:t>
            </w:r>
          </w:p>
        </w:tc>
        <w:tc>
          <w:tcPr>
            <w:tcW w:type="dxa" w:w="1728"/>
            <w:shd w:fill="F8FAFC"/>
            <w:tcMar>
              <w:top w:w="100" w:type="dxa"/>
              <w:bottom w:w="100" w:type="dxa"/>
              <w:left w:w="140" w:type="dxa"/>
              <w:right w:w="140" w:type="dxa"/>
            </w:tcMar>
          </w:tcPr>
          <w:p>
            <w:pPr>
              <w:jc w:val="left"/>
            </w:pPr>
            <w:r>
              <w:rPr>
                <w:rFonts w:ascii="Calibri" w:hAnsi="Calibri"/>
                <w:color w:val="1E293B"/>
                <w:sz w:val="18"/>
              </w:rPr>
              <w:t>procurement-manager.test.js</w:t>
            </w:r>
          </w:p>
        </w:tc>
      </w:tr>
      <w:tr>
        <w:tc>
          <w:tcPr>
            <w:tcW w:type="dxa" w:w="1152"/>
            <w:shd w:fill="FFFFFF"/>
            <w:tcMar>
              <w:top w:w="100" w:type="dxa"/>
              <w:bottom w:w="100" w:type="dxa"/>
              <w:left w:w="140" w:type="dxa"/>
              <w:right w:w="140" w:type="dxa"/>
            </w:tcMar>
          </w:tcPr>
          <w:p>
            <w:pPr>
              <w:jc w:val="left"/>
            </w:pPr>
            <w:r>
              <w:rPr>
                <w:rFonts w:ascii="Calibri" w:hAnsi="Calibri"/>
                <w:color w:val="1E293B"/>
                <w:sz w:val="18"/>
              </w:rPr>
              <w:t>FR-013</w:t>
            </w:r>
          </w:p>
        </w:tc>
        <w:tc>
          <w:tcPr>
            <w:tcW w:type="dxa" w:w="2304"/>
            <w:shd w:fill="FFFFFF"/>
            <w:tcMar>
              <w:top w:w="100" w:type="dxa"/>
              <w:bottom w:w="100" w:type="dxa"/>
              <w:left w:w="140" w:type="dxa"/>
              <w:right w:w="140" w:type="dxa"/>
            </w:tcMar>
          </w:tcPr>
          <w:p>
            <w:pPr>
              <w:jc w:val="left"/>
            </w:pPr>
            <w:r>
              <w:rPr>
                <w:rFonts w:ascii="Calibri" w:hAnsi="Calibri"/>
                <w:color w:val="1E293B"/>
                <w:sz w:val="18"/>
              </w:rPr>
              <w:t>Vendor Account Suspension</w:t>
            </w:r>
          </w:p>
        </w:tc>
        <w:tc>
          <w:tcPr>
            <w:tcW w:type="dxa" w:w="1584"/>
            <w:shd w:fill="FFFFFF"/>
            <w:tcMar>
              <w:top w:w="100" w:type="dxa"/>
              <w:bottom w:w="100" w:type="dxa"/>
              <w:left w:w="140" w:type="dxa"/>
              <w:right w:w="140" w:type="dxa"/>
            </w:tcMar>
          </w:tcPr>
          <w:p>
            <w:pPr>
              <w:jc w:val="left"/>
            </w:pPr>
            <w:r>
              <w:rPr>
                <w:rFonts w:ascii="Calibri" w:hAnsi="Calibri"/>
                <w:color w:val="1E293B"/>
                <w:sz w:val="18"/>
              </w:rPr>
              <w:t>BRD-CONFIRMED</w:t>
            </w:r>
          </w:p>
        </w:tc>
        <w:tc>
          <w:tcPr>
            <w:tcW w:type="dxa" w:w="2160"/>
            <w:shd w:fill="FFFFFF"/>
            <w:tcMar>
              <w:top w:w="100" w:type="dxa"/>
              <w:bottom w:w="100" w:type="dxa"/>
              <w:left w:w="140" w:type="dxa"/>
              <w:right w:w="140" w:type="dxa"/>
            </w:tcMar>
          </w:tcPr>
          <w:p>
            <w:pPr>
              <w:jc w:val="left"/>
            </w:pPr>
            <w:r>
              <w:rPr>
                <w:rFonts w:ascii="Calibri" w:hAnsi="Calibri"/>
                <w:color w:val="1E293B"/>
                <w:sz w:val="18"/>
              </w:rPr>
              <w:t>kbm-platform-vendor-service</w:t>
            </w:r>
          </w:p>
        </w:tc>
        <w:tc>
          <w:tcPr>
            <w:tcW w:type="dxa" w:w="1584"/>
            <w:shd w:fill="FFFFFF"/>
            <w:tcMar>
              <w:top w:w="100" w:type="dxa"/>
              <w:bottom w:w="100" w:type="dxa"/>
              <w:left w:w="140" w:type="dxa"/>
              <w:right w:w="140" w:type="dxa"/>
            </w:tcMar>
          </w:tcPr>
          <w:p>
            <w:pPr>
              <w:jc w:val="left"/>
            </w:pPr>
            <w:r>
              <w:rPr>
                <w:rFonts w:ascii="Calibri" w:hAnsi="Calibri"/>
                <w:color w:val="1E293B"/>
                <w:sz w:val="18"/>
              </w:rPr>
              <w:t>Vendors (/tenantId)</w:t>
            </w:r>
          </w:p>
        </w:tc>
        <w:tc>
          <w:tcPr>
            <w:tcW w:type="dxa" w:w="1728"/>
            <w:shd w:fill="FFFFFF"/>
            <w:tcMar>
              <w:top w:w="100" w:type="dxa"/>
              <w:bottom w:w="100" w:type="dxa"/>
              <w:left w:w="140" w:type="dxa"/>
              <w:right w:w="140" w:type="dxa"/>
            </w:tcMar>
          </w:tcPr>
          <w:p>
            <w:pPr>
              <w:jc w:val="left"/>
            </w:pPr>
            <w:r>
              <w:rPr>
                <w:rFonts w:ascii="Calibri" w:hAnsi="Calibri"/>
                <w:color w:val="1E293B"/>
                <w:sz w:val="18"/>
              </w:rPr>
              <w:t>vendor-manager.test.js</w:t>
            </w:r>
          </w:p>
        </w:tc>
      </w:tr>
      <w:tr>
        <w:tc>
          <w:tcPr>
            <w:tcW w:type="dxa" w:w="1152"/>
            <w:shd w:fill="F8FAFC"/>
            <w:tcMar>
              <w:top w:w="100" w:type="dxa"/>
              <w:bottom w:w="100" w:type="dxa"/>
              <w:left w:w="140" w:type="dxa"/>
              <w:right w:w="140" w:type="dxa"/>
            </w:tcMar>
          </w:tcPr>
          <w:p>
            <w:pPr>
              <w:jc w:val="left"/>
            </w:pPr>
            <w:r>
              <w:rPr>
                <w:rFonts w:ascii="Calibri" w:hAnsi="Calibri"/>
                <w:color w:val="1E293B"/>
                <w:sz w:val="18"/>
              </w:rPr>
              <w:t>FR-014</w:t>
            </w:r>
          </w:p>
        </w:tc>
        <w:tc>
          <w:tcPr>
            <w:tcW w:type="dxa" w:w="2304"/>
            <w:shd w:fill="F8FAFC"/>
            <w:tcMar>
              <w:top w:w="100" w:type="dxa"/>
              <w:bottom w:w="100" w:type="dxa"/>
              <w:left w:w="140" w:type="dxa"/>
              <w:right w:w="140" w:type="dxa"/>
            </w:tcMar>
          </w:tcPr>
          <w:p>
            <w:pPr>
              <w:jc w:val="left"/>
            </w:pPr>
            <w:r>
              <w:rPr>
                <w:rFonts w:ascii="Calibri" w:hAnsi="Calibri"/>
                <w:color w:val="1E293B"/>
                <w:sz w:val="18"/>
              </w:rPr>
              <w:t>Auto-Reinstatement on Date</w:t>
            </w:r>
          </w:p>
        </w:tc>
        <w:tc>
          <w:tcPr>
            <w:tcW w:type="dxa" w:w="1584"/>
            <w:shd w:fill="F8FAFC"/>
            <w:tcMar>
              <w:top w:w="100" w:type="dxa"/>
              <w:bottom w:w="100" w:type="dxa"/>
              <w:left w:w="140" w:type="dxa"/>
              <w:right w:w="140" w:type="dxa"/>
            </w:tcMar>
          </w:tcPr>
          <w:p>
            <w:pPr>
              <w:jc w:val="left"/>
            </w:pPr>
            <w:r>
              <w:rPr>
                <w:rFonts w:ascii="Calibri" w:hAnsi="Calibri"/>
                <w:color w:val="1E293B"/>
                <w:sz w:val="18"/>
              </w:rPr>
              <w:t>BRD-CONFIRMED</w:t>
            </w:r>
          </w:p>
        </w:tc>
        <w:tc>
          <w:tcPr>
            <w:tcW w:type="dxa" w:w="2160"/>
            <w:shd w:fill="F8FAFC"/>
            <w:tcMar>
              <w:top w:w="100" w:type="dxa"/>
              <w:bottom w:w="100" w:type="dxa"/>
              <w:left w:w="140" w:type="dxa"/>
              <w:right w:w="140" w:type="dxa"/>
            </w:tcMar>
          </w:tcPr>
          <w:p>
            <w:pPr>
              <w:jc w:val="left"/>
            </w:pPr>
            <w:r>
              <w:rPr>
                <w:rFonts w:ascii="Calibri" w:hAnsi="Calibri"/>
                <w:color w:val="1E293B"/>
                <w:sz w:val="18"/>
              </w:rPr>
              <w:t>kbm-platform-vendor-service</w:t>
            </w:r>
          </w:p>
        </w:tc>
        <w:tc>
          <w:tcPr>
            <w:tcW w:type="dxa" w:w="1584"/>
            <w:shd w:fill="F8FAFC"/>
            <w:tcMar>
              <w:top w:w="100" w:type="dxa"/>
              <w:bottom w:w="100" w:type="dxa"/>
              <w:left w:w="140" w:type="dxa"/>
              <w:right w:w="140" w:type="dxa"/>
            </w:tcMar>
          </w:tcPr>
          <w:p>
            <w:pPr>
              <w:jc w:val="left"/>
            </w:pPr>
            <w:r>
              <w:rPr>
                <w:rFonts w:ascii="Calibri" w:hAnsi="Calibri"/>
                <w:color w:val="1E293B"/>
                <w:sz w:val="18"/>
              </w:rPr>
              <w:t>Vendors (/tenantId)</w:t>
            </w:r>
          </w:p>
        </w:tc>
        <w:tc>
          <w:tcPr>
            <w:tcW w:type="dxa" w:w="1728"/>
            <w:shd w:fill="F8FAFC"/>
            <w:tcMar>
              <w:top w:w="100" w:type="dxa"/>
              <w:bottom w:w="100" w:type="dxa"/>
              <w:left w:w="140" w:type="dxa"/>
              <w:right w:w="140" w:type="dxa"/>
            </w:tcMar>
          </w:tcPr>
          <w:p>
            <w:pPr>
              <w:jc w:val="left"/>
            </w:pPr>
            <w:r>
              <w:rPr>
                <w:rFonts w:ascii="Calibri" w:hAnsi="Calibri"/>
                <w:color w:val="1E293B"/>
                <w:sz w:val="18"/>
              </w:rPr>
              <w:t>vendor-manager.test.js</w:t>
            </w:r>
          </w:p>
        </w:tc>
      </w:tr>
      <w:tr>
        <w:tc>
          <w:tcPr>
            <w:tcW w:type="dxa" w:w="1152"/>
            <w:shd w:fill="FFFFFF"/>
            <w:tcMar>
              <w:top w:w="100" w:type="dxa"/>
              <w:bottom w:w="100" w:type="dxa"/>
              <w:left w:w="140" w:type="dxa"/>
              <w:right w:w="140" w:type="dxa"/>
            </w:tcMar>
          </w:tcPr>
          <w:p>
            <w:pPr>
              <w:jc w:val="left"/>
            </w:pPr>
            <w:r>
              <w:rPr>
                <w:rFonts w:ascii="Calibri" w:hAnsi="Calibri"/>
                <w:color w:val="1E293B"/>
                <w:sz w:val="18"/>
              </w:rPr>
              <w:t>FR-017</w:t>
            </w:r>
          </w:p>
        </w:tc>
        <w:tc>
          <w:tcPr>
            <w:tcW w:type="dxa" w:w="2304"/>
            <w:shd w:fill="FFFFFF"/>
            <w:tcMar>
              <w:top w:w="100" w:type="dxa"/>
              <w:bottom w:w="100" w:type="dxa"/>
              <w:left w:w="140" w:type="dxa"/>
              <w:right w:w="140" w:type="dxa"/>
            </w:tcMar>
          </w:tcPr>
          <w:p>
            <w:pPr>
              <w:jc w:val="left"/>
            </w:pPr>
            <w:r>
              <w:rPr>
                <w:rFonts w:ascii="Calibri" w:hAnsi="Calibri"/>
                <w:color w:val="1E293B"/>
                <w:sz w:val="18"/>
              </w:rPr>
              <w:t>1-Year KNET Subscription</w:t>
            </w:r>
          </w:p>
        </w:tc>
        <w:tc>
          <w:tcPr>
            <w:tcW w:type="dxa" w:w="1584"/>
            <w:shd w:fill="FFFFFF"/>
            <w:tcMar>
              <w:top w:w="100" w:type="dxa"/>
              <w:bottom w:w="100" w:type="dxa"/>
              <w:left w:w="140" w:type="dxa"/>
              <w:right w:w="140" w:type="dxa"/>
            </w:tcMar>
          </w:tcPr>
          <w:p>
            <w:pPr>
              <w:jc w:val="left"/>
            </w:pPr>
            <w:r>
              <w:rPr>
                <w:rFonts w:ascii="Calibri" w:hAnsi="Calibri"/>
                <w:color w:val="1E293B"/>
                <w:sz w:val="18"/>
              </w:rPr>
              <w:t>BRD-CONFIRMED</w:t>
            </w:r>
          </w:p>
        </w:tc>
        <w:tc>
          <w:tcPr>
            <w:tcW w:type="dxa" w:w="2160"/>
            <w:shd w:fill="FFFFFF"/>
            <w:tcMar>
              <w:top w:w="100" w:type="dxa"/>
              <w:bottom w:w="100" w:type="dxa"/>
              <w:left w:w="140" w:type="dxa"/>
              <w:right w:w="140" w:type="dxa"/>
            </w:tcMar>
          </w:tcPr>
          <w:p>
            <w:pPr>
              <w:jc w:val="left"/>
            </w:pPr>
            <w:r>
              <w:rPr>
                <w:rFonts w:ascii="Calibri" w:hAnsi="Calibri"/>
                <w:color w:val="1E293B"/>
                <w:sz w:val="18"/>
              </w:rPr>
              <w:t>kbm-platform-vendor-service</w:t>
            </w:r>
          </w:p>
        </w:tc>
        <w:tc>
          <w:tcPr>
            <w:tcW w:type="dxa" w:w="1584"/>
            <w:shd w:fill="FFFFFF"/>
            <w:tcMar>
              <w:top w:w="100" w:type="dxa"/>
              <w:bottom w:w="100" w:type="dxa"/>
              <w:left w:w="140" w:type="dxa"/>
              <w:right w:w="140" w:type="dxa"/>
            </w:tcMar>
          </w:tcPr>
          <w:p>
            <w:pPr>
              <w:jc w:val="left"/>
            </w:pPr>
            <w:r>
              <w:rPr>
                <w:rFonts w:ascii="Calibri" w:hAnsi="Calibri"/>
                <w:color w:val="1E293B"/>
                <w:sz w:val="18"/>
              </w:rPr>
              <w:t>Vendors (/tenantId)</w:t>
            </w:r>
          </w:p>
        </w:tc>
        <w:tc>
          <w:tcPr>
            <w:tcW w:type="dxa" w:w="1728"/>
            <w:shd w:fill="FFFFFF"/>
            <w:tcMar>
              <w:top w:w="100" w:type="dxa"/>
              <w:bottom w:w="100" w:type="dxa"/>
              <w:left w:w="140" w:type="dxa"/>
              <w:right w:w="140" w:type="dxa"/>
            </w:tcMar>
          </w:tcPr>
          <w:p>
            <w:pPr>
              <w:jc w:val="left"/>
            </w:pPr>
            <w:r>
              <w:rPr>
                <w:rFonts w:ascii="Calibri" w:hAnsi="Calibri"/>
                <w:color w:val="1E293B"/>
                <w:sz w:val="18"/>
              </w:rPr>
              <w:t>vendor-manager.test.js</w:t>
            </w:r>
          </w:p>
        </w:tc>
      </w:tr>
      <w:tr>
        <w:tc>
          <w:tcPr>
            <w:tcW w:type="dxa" w:w="1152"/>
            <w:shd w:fill="F8FAFC"/>
            <w:tcMar>
              <w:top w:w="100" w:type="dxa"/>
              <w:bottom w:w="100" w:type="dxa"/>
              <w:left w:w="140" w:type="dxa"/>
              <w:right w:w="140" w:type="dxa"/>
            </w:tcMar>
          </w:tcPr>
          <w:p>
            <w:pPr>
              <w:jc w:val="left"/>
            </w:pPr>
            <w:r>
              <w:rPr>
                <w:rFonts w:ascii="Calibri" w:hAnsi="Calibri"/>
                <w:color w:val="1E293B"/>
                <w:sz w:val="18"/>
              </w:rPr>
              <w:t>FR-018</w:t>
            </w:r>
          </w:p>
        </w:tc>
        <w:tc>
          <w:tcPr>
            <w:tcW w:type="dxa" w:w="2304"/>
            <w:shd w:fill="F8FAFC"/>
            <w:tcMar>
              <w:top w:w="100" w:type="dxa"/>
              <w:bottom w:w="100" w:type="dxa"/>
              <w:left w:w="140" w:type="dxa"/>
              <w:right w:w="140" w:type="dxa"/>
            </w:tcMar>
          </w:tcPr>
          <w:p>
            <w:pPr>
              <w:jc w:val="left"/>
            </w:pPr>
            <w:r>
              <w:rPr>
                <w:rFonts w:ascii="Calibri" w:hAnsi="Calibri"/>
                <w:color w:val="1E293B"/>
                <w:sz w:val="18"/>
              </w:rPr>
              <w:t>Vendor Fee Exemption</w:t>
            </w:r>
          </w:p>
        </w:tc>
        <w:tc>
          <w:tcPr>
            <w:tcW w:type="dxa" w:w="1584"/>
            <w:shd w:fill="F8FAFC"/>
            <w:tcMar>
              <w:top w:w="100" w:type="dxa"/>
              <w:bottom w:w="100" w:type="dxa"/>
              <w:left w:w="140" w:type="dxa"/>
              <w:right w:w="140" w:type="dxa"/>
            </w:tcMar>
          </w:tcPr>
          <w:p>
            <w:pPr>
              <w:jc w:val="left"/>
            </w:pPr>
            <w:r>
              <w:rPr>
                <w:rFonts w:ascii="Calibri" w:hAnsi="Calibri"/>
                <w:color w:val="1E293B"/>
                <w:sz w:val="18"/>
              </w:rPr>
              <w:t>BRD-CONFIRMED</w:t>
            </w:r>
          </w:p>
        </w:tc>
        <w:tc>
          <w:tcPr>
            <w:tcW w:type="dxa" w:w="2160"/>
            <w:shd w:fill="F8FAFC"/>
            <w:tcMar>
              <w:top w:w="100" w:type="dxa"/>
              <w:bottom w:w="100" w:type="dxa"/>
              <w:left w:w="140" w:type="dxa"/>
              <w:right w:w="140" w:type="dxa"/>
            </w:tcMar>
          </w:tcPr>
          <w:p>
            <w:pPr>
              <w:jc w:val="left"/>
            </w:pPr>
            <w:r>
              <w:rPr>
                <w:rFonts w:ascii="Calibri" w:hAnsi="Calibri"/>
                <w:color w:val="1E293B"/>
                <w:sz w:val="18"/>
              </w:rPr>
              <w:t>kbm-platform-vendor-service</w:t>
            </w:r>
          </w:p>
        </w:tc>
        <w:tc>
          <w:tcPr>
            <w:tcW w:type="dxa" w:w="1584"/>
            <w:shd w:fill="F8FAFC"/>
            <w:tcMar>
              <w:top w:w="100" w:type="dxa"/>
              <w:bottom w:w="100" w:type="dxa"/>
              <w:left w:w="140" w:type="dxa"/>
              <w:right w:w="140" w:type="dxa"/>
            </w:tcMar>
          </w:tcPr>
          <w:p>
            <w:pPr>
              <w:jc w:val="left"/>
            </w:pPr>
            <w:r>
              <w:rPr>
                <w:rFonts w:ascii="Calibri" w:hAnsi="Calibri"/>
                <w:color w:val="1E293B"/>
                <w:sz w:val="18"/>
              </w:rPr>
              <w:t>Vendors (/tenantId)</w:t>
            </w:r>
          </w:p>
        </w:tc>
        <w:tc>
          <w:tcPr>
            <w:tcW w:type="dxa" w:w="1728"/>
            <w:shd w:fill="F8FAFC"/>
            <w:tcMar>
              <w:top w:w="100" w:type="dxa"/>
              <w:bottom w:w="100" w:type="dxa"/>
              <w:left w:w="140" w:type="dxa"/>
              <w:right w:w="140" w:type="dxa"/>
            </w:tcMar>
          </w:tcPr>
          <w:p>
            <w:pPr>
              <w:jc w:val="left"/>
            </w:pPr>
            <w:r>
              <w:rPr>
                <w:rFonts w:ascii="Calibri" w:hAnsi="Calibri"/>
                <w:color w:val="1E293B"/>
                <w:sz w:val="18"/>
              </w:rPr>
              <w:t>vendor-manager.test.js</w:t>
            </w:r>
          </w:p>
        </w:tc>
      </w:tr>
      <w:tr>
        <w:tc>
          <w:tcPr>
            <w:tcW w:type="dxa" w:w="1152"/>
            <w:shd w:fill="FFFFFF"/>
            <w:tcMar>
              <w:top w:w="100" w:type="dxa"/>
              <w:bottom w:w="100" w:type="dxa"/>
              <w:left w:w="140" w:type="dxa"/>
              <w:right w:w="140" w:type="dxa"/>
            </w:tcMar>
          </w:tcPr>
          <w:p>
            <w:pPr>
              <w:jc w:val="left"/>
            </w:pPr>
            <w:r>
              <w:rPr>
                <w:rFonts w:ascii="Calibri" w:hAnsi="Calibri"/>
                <w:color w:val="1E293B"/>
                <w:sz w:val="18"/>
              </w:rPr>
              <w:t>FR-019</w:t>
            </w:r>
          </w:p>
        </w:tc>
        <w:tc>
          <w:tcPr>
            <w:tcW w:type="dxa" w:w="2304"/>
            <w:shd w:fill="FFFFFF"/>
            <w:tcMar>
              <w:top w:w="100" w:type="dxa"/>
              <w:bottom w:w="100" w:type="dxa"/>
              <w:left w:w="140" w:type="dxa"/>
              <w:right w:w="140" w:type="dxa"/>
            </w:tcMar>
          </w:tcPr>
          <w:p>
            <w:pPr>
              <w:jc w:val="left"/>
            </w:pPr>
            <w:r>
              <w:rPr>
                <w:rFonts w:ascii="Calibri" w:hAnsi="Calibri"/>
                <w:color w:val="1E293B"/>
                <w:sz w:val="18"/>
              </w:rPr>
              <w:t>Tender Activity Targeting</w:t>
            </w:r>
          </w:p>
        </w:tc>
        <w:tc>
          <w:tcPr>
            <w:tcW w:type="dxa" w:w="1584"/>
            <w:shd w:fill="FFFFFF"/>
            <w:tcMar>
              <w:top w:w="100" w:type="dxa"/>
              <w:bottom w:w="100" w:type="dxa"/>
              <w:left w:w="140" w:type="dxa"/>
              <w:right w:w="140" w:type="dxa"/>
            </w:tcMar>
          </w:tcPr>
          <w:p>
            <w:pPr>
              <w:jc w:val="left"/>
            </w:pPr>
            <w:r>
              <w:rPr>
                <w:rFonts w:ascii="Calibri" w:hAnsi="Calibri"/>
                <w:color w:val="1E293B"/>
                <w:sz w:val="18"/>
              </w:rPr>
              <w:t>BRD-CONFIRMED</w:t>
            </w:r>
          </w:p>
        </w:tc>
        <w:tc>
          <w:tcPr>
            <w:tcW w:type="dxa" w:w="2160"/>
            <w:shd w:fill="FFFFFF"/>
            <w:tcMar>
              <w:top w:w="100" w:type="dxa"/>
              <w:bottom w:w="100" w:type="dxa"/>
              <w:left w:w="140" w:type="dxa"/>
              <w:right w:w="140" w:type="dxa"/>
            </w:tcMar>
          </w:tcPr>
          <w:p>
            <w:pPr>
              <w:jc w:val="left"/>
            </w:pPr>
            <w:r>
              <w:rPr>
                <w:rFonts w:ascii="Calibri" w:hAnsi="Calibri"/>
                <w:color w:val="1E293B"/>
                <w:sz w:val="18"/>
              </w:rPr>
              <w:t>kbm-platform-procurement-service</w:t>
            </w:r>
          </w:p>
        </w:tc>
        <w:tc>
          <w:tcPr>
            <w:tcW w:type="dxa" w:w="1584"/>
            <w:shd w:fill="FFFFFF"/>
            <w:tcMar>
              <w:top w:w="100" w:type="dxa"/>
              <w:bottom w:w="100" w:type="dxa"/>
              <w:left w:w="140" w:type="dxa"/>
              <w:right w:w="140" w:type="dxa"/>
            </w:tcMar>
          </w:tcPr>
          <w:p>
            <w:pPr>
              <w:jc w:val="left"/>
            </w:pPr>
            <w:r>
              <w:rPr>
                <w:rFonts w:ascii="Calibri" w:hAnsi="Calibri"/>
                <w:color w:val="1E293B"/>
                <w:sz w:val="18"/>
              </w:rPr>
              <w:t>Tenders (/tenantId)</w:t>
            </w:r>
          </w:p>
        </w:tc>
        <w:tc>
          <w:tcPr>
            <w:tcW w:type="dxa" w:w="1728"/>
            <w:shd w:fill="FFFFFF"/>
            <w:tcMar>
              <w:top w:w="100" w:type="dxa"/>
              <w:bottom w:w="100" w:type="dxa"/>
              <w:left w:w="140" w:type="dxa"/>
              <w:right w:w="140" w:type="dxa"/>
            </w:tcMar>
          </w:tcPr>
          <w:p>
            <w:pPr>
              <w:jc w:val="left"/>
            </w:pPr>
            <w:r>
              <w:rPr>
                <w:rFonts w:ascii="Calibri" w:hAnsi="Calibri"/>
                <w:color w:val="1E293B"/>
                <w:sz w:val="18"/>
              </w:rPr>
              <w:t>procurement-manager.test.js</w:t>
            </w:r>
          </w:p>
        </w:tc>
      </w:tr>
      <w:tr>
        <w:tc>
          <w:tcPr>
            <w:tcW w:type="dxa" w:w="1152"/>
            <w:shd w:fill="F8FAFC"/>
            <w:tcMar>
              <w:top w:w="100" w:type="dxa"/>
              <w:bottom w:w="100" w:type="dxa"/>
              <w:left w:w="140" w:type="dxa"/>
              <w:right w:w="140" w:type="dxa"/>
            </w:tcMar>
          </w:tcPr>
          <w:p>
            <w:pPr>
              <w:jc w:val="left"/>
            </w:pPr>
            <w:r>
              <w:rPr>
                <w:rFonts w:ascii="Calibri" w:hAnsi="Calibri"/>
                <w:color w:val="1E293B"/>
                <w:sz w:val="18"/>
              </w:rPr>
              <w:t>FR-020</w:t>
            </w:r>
          </w:p>
        </w:tc>
        <w:tc>
          <w:tcPr>
            <w:tcW w:type="dxa" w:w="2304"/>
            <w:shd w:fill="F8FAFC"/>
            <w:tcMar>
              <w:top w:w="100" w:type="dxa"/>
              <w:bottom w:w="100" w:type="dxa"/>
              <w:left w:w="140" w:type="dxa"/>
              <w:right w:w="140" w:type="dxa"/>
            </w:tcMar>
          </w:tcPr>
          <w:p>
            <w:pPr>
              <w:jc w:val="left"/>
            </w:pPr>
            <w:r>
              <w:rPr>
                <w:rFonts w:ascii="Calibri" w:hAnsi="Calibri"/>
                <w:color w:val="1E293B"/>
                <w:sz w:val="18"/>
              </w:rPr>
              <w:t>Server-Side Eligibility Filter</w:t>
            </w:r>
          </w:p>
        </w:tc>
        <w:tc>
          <w:tcPr>
            <w:tcW w:type="dxa" w:w="1584"/>
            <w:shd w:fill="F8FAFC"/>
            <w:tcMar>
              <w:top w:w="100" w:type="dxa"/>
              <w:bottom w:w="100" w:type="dxa"/>
              <w:left w:w="140" w:type="dxa"/>
              <w:right w:w="140" w:type="dxa"/>
            </w:tcMar>
          </w:tcPr>
          <w:p>
            <w:pPr>
              <w:jc w:val="left"/>
            </w:pPr>
            <w:r>
              <w:rPr>
                <w:rFonts w:ascii="Calibri" w:hAnsi="Calibri"/>
                <w:color w:val="1E293B"/>
                <w:sz w:val="18"/>
              </w:rPr>
              <w:t>BRD-CONFIRMED</w:t>
            </w:r>
          </w:p>
        </w:tc>
        <w:tc>
          <w:tcPr>
            <w:tcW w:type="dxa" w:w="2160"/>
            <w:shd w:fill="F8FAFC"/>
            <w:tcMar>
              <w:top w:w="100" w:type="dxa"/>
              <w:bottom w:w="100" w:type="dxa"/>
              <w:left w:w="140" w:type="dxa"/>
              <w:right w:w="140" w:type="dxa"/>
            </w:tcMar>
          </w:tcPr>
          <w:p>
            <w:pPr>
              <w:jc w:val="left"/>
            </w:pPr>
            <w:r>
              <w:rPr>
                <w:rFonts w:ascii="Calibri" w:hAnsi="Calibri"/>
                <w:color w:val="1E293B"/>
                <w:sz w:val="18"/>
              </w:rPr>
              <w:t>kbm-platform-procurement-service</w:t>
            </w:r>
          </w:p>
        </w:tc>
        <w:tc>
          <w:tcPr>
            <w:tcW w:type="dxa" w:w="1584"/>
            <w:shd w:fill="F8FAFC"/>
            <w:tcMar>
              <w:top w:w="100" w:type="dxa"/>
              <w:bottom w:w="100" w:type="dxa"/>
              <w:left w:w="140" w:type="dxa"/>
              <w:right w:w="140" w:type="dxa"/>
            </w:tcMar>
          </w:tcPr>
          <w:p>
            <w:pPr>
              <w:jc w:val="left"/>
            </w:pPr>
            <w:r>
              <w:rPr>
                <w:rFonts w:ascii="Calibri" w:hAnsi="Calibri"/>
                <w:color w:val="1E293B"/>
                <w:sz w:val="18"/>
              </w:rPr>
              <w:t>Tenders (/tenantId)</w:t>
            </w:r>
          </w:p>
        </w:tc>
        <w:tc>
          <w:tcPr>
            <w:tcW w:type="dxa" w:w="1728"/>
            <w:shd w:fill="F8FAFC"/>
            <w:tcMar>
              <w:top w:w="100" w:type="dxa"/>
              <w:bottom w:w="100" w:type="dxa"/>
              <w:left w:w="140" w:type="dxa"/>
              <w:right w:w="140" w:type="dxa"/>
            </w:tcMar>
          </w:tcPr>
          <w:p>
            <w:pPr>
              <w:jc w:val="left"/>
            </w:pPr>
            <w:r>
              <w:rPr>
                <w:rFonts w:ascii="Calibri" w:hAnsi="Calibri"/>
                <w:color w:val="1E293B"/>
                <w:sz w:val="18"/>
              </w:rPr>
              <w:t>procurement-manager.test.js</w:t>
            </w:r>
          </w:p>
        </w:tc>
      </w:tr>
      <w:tr>
        <w:tc>
          <w:tcPr>
            <w:tcW w:type="dxa" w:w="1152"/>
            <w:shd w:fill="FFFFFF"/>
            <w:tcMar>
              <w:top w:w="100" w:type="dxa"/>
              <w:bottom w:w="100" w:type="dxa"/>
              <w:left w:w="140" w:type="dxa"/>
              <w:right w:w="140" w:type="dxa"/>
            </w:tcMar>
          </w:tcPr>
          <w:p>
            <w:pPr>
              <w:jc w:val="left"/>
            </w:pPr>
            <w:r>
              <w:rPr>
                <w:rFonts w:ascii="Calibri" w:hAnsi="Calibri"/>
                <w:color w:val="1E293B"/>
                <w:sz w:val="18"/>
              </w:rPr>
              <w:t>FR-026</w:t>
            </w:r>
          </w:p>
        </w:tc>
        <w:tc>
          <w:tcPr>
            <w:tcW w:type="dxa" w:w="2304"/>
            <w:shd w:fill="FFFFFF"/>
            <w:tcMar>
              <w:top w:w="100" w:type="dxa"/>
              <w:bottom w:w="100" w:type="dxa"/>
              <w:left w:w="140" w:type="dxa"/>
              <w:right w:w="140" w:type="dxa"/>
            </w:tcMar>
          </w:tcPr>
          <w:p>
            <w:pPr>
              <w:jc w:val="left"/>
            </w:pPr>
            <w:r>
              <w:rPr>
                <w:rFonts w:ascii="Calibri" w:hAnsi="Calibri"/>
                <w:color w:val="1E293B"/>
                <w:sz w:val="18"/>
              </w:rPr>
              <w:t>Internal Approval Workflow</w:t>
            </w:r>
          </w:p>
        </w:tc>
        <w:tc>
          <w:tcPr>
            <w:tcW w:type="dxa" w:w="1584"/>
            <w:shd w:fill="FFFFFF"/>
            <w:tcMar>
              <w:top w:w="100" w:type="dxa"/>
              <w:bottom w:w="100" w:type="dxa"/>
              <w:left w:w="140" w:type="dxa"/>
              <w:right w:w="140" w:type="dxa"/>
            </w:tcMar>
          </w:tcPr>
          <w:p>
            <w:pPr>
              <w:jc w:val="left"/>
            </w:pPr>
            <w:r>
              <w:rPr>
                <w:rFonts w:ascii="Calibri" w:hAnsi="Calibri"/>
                <w:color w:val="1E293B"/>
                <w:sz w:val="18"/>
              </w:rPr>
              <w:t>BRD-CONFIRMED</w:t>
            </w:r>
          </w:p>
        </w:tc>
        <w:tc>
          <w:tcPr>
            <w:tcW w:type="dxa" w:w="2160"/>
            <w:shd w:fill="FFFFFF"/>
            <w:tcMar>
              <w:top w:w="100" w:type="dxa"/>
              <w:bottom w:w="100" w:type="dxa"/>
              <w:left w:w="140" w:type="dxa"/>
              <w:right w:w="140" w:type="dxa"/>
            </w:tcMar>
          </w:tcPr>
          <w:p>
            <w:pPr>
              <w:jc w:val="left"/>
            </w:pPr>
            <w:r>
              <w:rPr>
                <w:rFonts w:ascii="Calibri" w:hAnsi="Calibri"/>
                <w:color w:val="1E293B"/>
                <w:sz w:val="18"/>
              </w:rPr>
              <w:t>kbm-platform-workflow-service</w:t>
            </w:r>
          </w:p>
        </w:tc>
        <w:tc>
          <w:tcPr>
            <w:tcW w:type="dxa" w:w="1584"/>
            <w:shd w:fill="FFFFFF"/>
            <w:tcMar>
              <w:top w:w="100" w:type="dxa"/>
              <w:bottom w:w="100" w:type="dxa"/>
              <w:left w:w="140" w:type="dxa"/>
              <w:right w:w="140" w:type="dxa"/>
            </w:tcMar>
          </w:tcPr>
          <w:p>
            <w:pPr>
              <w:jc w:val="left"/>
            </w:pPr>
            <w:r>
              <w:rPr>
                <w:rFonts w:ascii="Calibri" w:hAnsi="Calibri"/>
                <w:color w:val="1E293B"/>
                <w:sz w:val="18"/>
              </w:rPr>
              <w:t>Workflows (/tenantId)</w:t>
            </w:r>
          </w:p>
        </w:tc>
        <w:tc>
          <w:tcPr>
            <w:tcW w:type="dxa" w:w="1728"/>
            <w:shd w:fill="FFFFFF"/>
            <w:tcMar>
              <w:top w:w="100" w:type="dxa"/>
              <w:bottom w:w="100" w:type="dxa"/>
              <w:left w:w="140" w:type="dxa"/>
              <w:right w:w="140" w:type="dxa"/>
            </w:tcMar>
          </w:tcPr>
          <w:p>
            <w:pPr>
              <w:jc w:val="left"/>
            </w:pPr>
            <w:r>
              <w:rPr>
                <w:rFonts w:ascii="Calibri" w:hAnsi="Calibri"/>
                <w:color w:val="1E293B"/>
                <w:sz w:val="18"/>
              </w:rPr>
              <w:t>workflow-engine.test.js</w:t>
            </w:r>
          </w:p>
        </w:tc>
      </w:tr>
      <w:tr>
        <w:tc>
          <w:tcPr>
            <w:tcW w:type="dxa" w:w="1152"/>
            <w:shd w:fill="F8FAFC"/>
            <w:tcMar>
              <w:top w:w="100" w:type="dxa"/>
              <w:bottom w:w="100" w:type="dxa"/>
              <w:left w:w="140" w:type="dxa"/>
              <w:right w:w="140" w:type="dxa"/>
            </w:tcMar>
          </w:tcPr>
          <w:p>
            <w:pPr>
              <w:jc w:val="left"/>
            </w:pPr>
            <w:r>
              <w:rPr>
                <w:rFonts w:ascii="Calibri" w:hAnsi="Calibri"/>
                <w:color w:val="1E293B"/>
                <w:sz w:val="18"/>
              </w:rPr>
              <w:t>FR-027</w:t>
            </w:r>
          </w:p>
        </w:tc>
        <w:tc>
          <w:tcPr>
            <w:tcW w:type="dxa" w:w="2304"/>
            <w:shd w:fill="F8FAFC"/>
            <w:tcMar>
              <w:top w:w="100" w:type="dxa"/>
              <w:bottom w:w="100" w:type="dxa"/>
              <w:left w:w="140" w:type="dxa"/>
              <w:right w:w="140" w:type="dxa"/>
            </w:tcMar>
          </w:tcPr>
          <w:p>
            <w:pPr>
              <w:jc w:val="left"/>
            </w:pPr>
            <w:r>
              <w:rPr>
                <w:rFonts w:ascii="Calibri" w:hAnsi="Calibri"/>
                <w:color w:val="1E293B"/>
                <w:sz w:val="18"/>
              </w:rPr>
              <w:t>Audited Approval Cycle</w:t>
            </w:r>
          </w:p>
        </w:tc>
        <w:tc>
          <w:tcPr>
            <w:tcW w:type="dxa" w:w="1584"/>
            <w:shd w:fill="F8FAFC"/>
            <w:tcMar>
              <w:top w:w="100" w:type="dxa"/>
              <w:bottom w:w="100" w:type="dxa"/>
              <w:left w:w="140" w:type="dxa"/>
              <w:right w:w="140" w:type="dxa"/>
            </w:tcMar>
          </w:tcPr>
          <w:p>
            <w:pPr>
              <w:jc w:val="left"/>
            </w:pPr>
            <w:r>
              <w:rPr>
                <w:rFonts w:ascii="Calibri" w:hAnsi="Calibri"/>
                <w:color w:val="1E293B"/>
                <w:sz w:val="18"/>
              </w:rPr>
              <w:t>BRD-CONFIRMED</w:t>
            </w:r>
          </w:p>
        </w:tc>
        <w:tc>
          <w:tcPr>
            <w:tcW w:type="dxa" w:w="2160"/>
            <w:shd w:fill="F8FAFC"/>
            <w:tcMar>
              <w:top w:w="100" w:type="dxa"/>
              <w:bottom w:w="100" w:type="dxa"/>
              <w:left w:w="140" w:type="dxa"/>
              <w:right w:w="140" w:type="dxa"/>
            </w:tcMar>
          </w:tcPr>
          <w:p>
            <w:pPr>
              <w:jc w:val="left"/>
            </w:pPr>
            <w:r>
              <w:rPr>
                <w:rFonts w:ascii="Calibri" w:hAnsi="Calibri"/>
                <w:color w:val="1E293B"/>
                <w:sz w:val="18"/>
              </w:rPr>
              <w:t>kbm-platform-audit-service</w:t>
            </w:r>
          </w:p>
        </w:tc>
        <w:tc>
          <w:tcPr>
            <w:tcW w:type="dxa" w:w="1584"/>
            <w:shd w:fill="F8FAFC"/>
            <w:tcMar>
              <w:top w:w="100" w:type="dxa"/>
              <w:bottom w:w="100" w:type="dxa"/>
              <w:left w:w="140" w:type="dxa"/>
              <w:right w:w="140" w:type="dxa"/>
            </w:tcMar>
          </w:tcPr>
          <w:p>
            <w:pPr>
              <w:jc w:val="left"/>
            </w:pPr>
            <w:r>
              <w:rPr>
                <w:rFonts w:ascii="Calibri" w:hAnsi="Calibri"/>
                <w:color w:val="1E293B"/>
                <w:sz w:val="18"/>
              </w:rPr>
              <w:t>AuditEvents (/tenantId)</w:t>
            </w:r>
          </w:p>
        </w:tc>
        <w:tc>
          <w:tcPr>
            <w:tcW w:type="dxa" w:w="1728"/>
            <w:shd w:fill="F8FAFC"/>
            <w:tcMar>
              <w:top w:w="100" w:type="dxa"/>
              <w:bottom w:w="100" w:type="dxa"/>
              <w:left w:w="140" w:type="dxa"/>
              <w:right w:w="140" w:type="dxa"/>
            </w:tcMar>
          </w:tcPr>
          <w:p>
            <w:pPr>
              <w:jc w:val="left"/>
            </w:pPr>
            <w:r>
              <w:rPr>
                <w:rFonts w:ascii="Calibri" w:hAnsi="Calibri"/>
                <w:color w:val="1E293B"/>
                <w:sz w:val="18"/>
              </w:rPr>
              <w:t>audit-store.test.js</w:t>
            </w:r>
          </w:p>
        </w:tc>
      </w:tr>
      <w:tr>
        <w:tc>
          <w:tcPr>
            <w:tcW w:type="dxa" w:w="1152"/>
            <w:shd w:fill="FFFFFF"/>
            <w:tcMar>
              <w:top w:w="100" w:type="dxa"/>
              <w:bottom w:w="100" w:type="dxa"/>
              <w:left w:w="140" w:type="dxa"/>
              <w:right w:w="140" w:type="dxa"/>
            </w:tcMar>
          </w:tcPr>
          <w:p>
            <w:pPr>
              <w:jc w:val="left"/>
            </w:pPr>
            <w:r>
              <w:rPr>
                <w:rFonts w:ascii="Calibri" w:hAnsi="Calibri"/>
                <w:color w:val="1E293B"/>
                <w:sz w:val="18"/>
              </w:rPr>
              <w:t>SEC-001</w:t>
            </w:r>
          </w:p>
        </w:tc>
        <w:tc>
          <w:tcPr>
            <w:tcW w:type="dxa" w:w="2304"/>
            <w:shd w:fill="FFFFFF"/>
            <w:tcMar>
              <w:top w:w="100" w:type="dxa"/>
              <w:bottom w:w="100" w:type="dxa"/>
              <w:left w:w="140" w:type="dxa"/>
              <w:right w:w="140" w:type="dxa"/>
            </w:tcMar>
          </w:tcPr>
          <w:p>
            <w:pPr>
              <w:jc w:val="left"/>
            </w:pPr>
            <w:r>
              <w:rPr>
                <w:rFonts w:ascii="Calibri" w:hAnsi="Calibri"/>
                <w:color w:val="1E293B"/>
                <w:sz w:val="18"/>
              </w:rPr>
              <w:t>Anti-Screenshot Watermarking</w:t>
            </w:r>
          </w:p>
        </w:tc>
        <w:tc>
          <w:tcPr>
            <w:tcW w:type="dxa" w:w="1584"/>
            <w:shd w:fill="FFFFFF"/>
            <w:tcMar>
              <w:top w:w="100" w:type="dxa"/>
              <w:bottom w:w="100" w:type="dxa"/>
              <w:left w:w="140" w:type="dxa"/>
              <w:right w:w="140" w:type="dxa"/>
            </w:tcMar>
          </w:tcPr>
          <w:p>
            <w:pPr>
              <w:jc w:val="left"/>
            </w:pPr>
            <w:r>
              <w:rPr>
                <w:rFonts w:ascii="Calibri" w:hAnsi="Calibri"/>
                <w:color w:val="1E293B"/>
                <w:sz w:val="18"/>
              </w:rPr>
              <w:t>BRD-CONFIRMED</w:t>
            </w:r>
          </w:p>
        </w:tc>
        <w:tc>
          <w:tcPr>
            <w:tcW w:type="dxa" w:w="2160"/>
            <w:shd w:fill="FFFFFF"/>
            <w:tcMar>
              <w:top w:w="100" w:type="dxa"/>
              <w:bottom w:w="100" w:type="dxa"/>
              <w:left w:w="140" w:type="dxa"/>
              <w:right w:w="140" w:type="dxa"/>
            </w:tcMar>
          </w:tcPr>
          <w:p>
            <w:pPr>
              <w:jc w:val="left"/>
            </w:pPr>
            <w:r>
              <w:rPr>
                <w:rFonts w:ascii="Calibri" w:hAnsi="Calibri"/>
                <w:color w:val="1E293B"/>
                <w:sz w:val="18"/>
              </w:rPr>
              <w:t>kbm-platform-document-service</w:t>
            </w:r>
          </w:p>
        </w:tc>
        <w:tc>
          <w:tcPr>
            <w:tcW w:type="dxa" w:w="1584"/>
            <w:shd w:fill="FFFFFF"/>
            <w:tcMar>
              <w:top w:w="100" w:type="dxa"/>
              <w:bottom w:w="100" w:type="dxa"/>
              <w:left w:w="140" w:type="dxa"/>
              <w:right w:w="140" w:type="dxa"/>
            </w:tcMar>
          </w:tcPr>
          <w:p>
            <w:pPr>
              <w:jc w:val="left"/>
            </w:pPr>
            <w:r>
              <w:rPr>
                <w:rFonts w:ascii="Calibri" w:hAnsi="Calibri"/>
                <w:color w:val="1E293B"/>
                <w:sz w:val="18"/>
              </w:rPr>
              <w:t>Blob Storage</w:t>
            </w:r>
          </w:p>
        </w:tc>
        <w:tc>
          <w:tcPr>
            <w:tcW w:type="dxa" w:w="1728"/>
            <w:shd w:fill="FFFFFF"/>
            <w:tcMar>
              <w:top w:w="100" w:type="dxa"/>
              <w:bottom w:w="100" w:type="dxa"/>
              <w:left w:w="140" w:type="dxa"/>
              <w:right w:w="140" w:type="dxa"/>
            </w:tcMar>
          </w:tcPr>
          <w:p>
            <w:pPr>
              <w:jc w:val="left"/>
            </w:pPr>
            <w:r>
              <w:rPr>
                <w:rFonts w:ascii="Calibri" w:hAnsi="Calibri"/>
                <w:color w:val="1E293B"/>
                <w:sz w:val="18"/>
              </w:rPr>
              <w:t>document-manager.test.js</w:t>
            </w:r>
          </w:p>
        </w:tc>
      </w:tr>
      <w:tr>
        <w:tc>
          <w:tcPr>
            <w:tcW w:type="dxa" w:w="1152"/>
            <w:shd w:fill="F8FAFC"/>
            <w:tcMar>
              <w:top w:w="100" w:type="dxa"/>
              <w:bottom w:w="100" w:type="dxa"/>
              <w:left w:w="140" w:type="dxa"/>
              <w:right w:w="140" w:type="dxa"/>
            </w:tcMar>
          </w:tcPr>
          <w:p>
            <w:pPr>
              <w:jc w:val="left"/>
            </w:pPr>
            <w:r>
              <w:rPr>
                <w:rFonts w:ascii="Calibri" w:hAnsi="Calibri"/>
                <w:color w:val="1E293B"/>
                <w:sz w:val="18"/>
              </w:rPr>
              <w:t>SEC-004</w:t>
            </w:r>
          </w:p>
        </w:tc>
        <w:tc>
          <w:tcPr>
            <w:tcW w:type="dxa" w:w="2304"/>
            <w:shd w:fill="F8FAFC"/>
            <w:tcMar>
              <w:top w:w="100" w:type="dxa"/>
              <w:bottom w:w="100" w:type="dxa"/>
              <w:left w:w="140" w:type="dxa"/>
              <w:right w:w="140" w:type="dxa"/>
            </w:tcMar>
          </w:tcPr>
          <w:p>
            <w:pPr>
              <w:jc w:val="left"/>
            </w:pPr>
            <w:r>
              <w:rPr>
                <w:rFonts w:ascii="Calibri" w:hAnsi="Calibri"/>
                <w:color w:val="1E293B"/>
                <w:sz w:val="18"/>
              </w:rPr>
              <w:t>Server-Side Payment Verification</w:t>
            </w:r>
          </w:p>
        </w:tc>
        <w:tc>
          <w:tcPr>
            <w:tcW w:type="dxa" w:w="1584"/>
            <w:shd w:fill="F8FAFC"/>
            <w:tcMar>
              <w:top w:w="100" w:type="dxa"/>
              <w:bottom w:w="100" w:type="dxa"/>
              <w:left w:w="140" w:type="dxa"/>
              <w:right w:w="140" w:type="dxa"/>
            </w:tcMar>
          </w:tcPr>
          <w:p>
            <w:pPr>
              <w:jc w:val="left"/>
            </w:pPr>
            <w:r>
              <w:rPr>
                <w:rFonts w:ascii="Calibri" w:hAnsi="Calibri"/>
                <w:color w:val="1E293B"/>
                <w:sz w:val="18"/>
              </w:rPr>
              <w:t>BRD-PROPOSED</w:t>
            </w:r>
          </w:p>
        </w:tc>
        <w:tc>
          <w:tcPr>
            <w:tcW w:type="dxa" w:w="2160"/>
            <w:shd w:fill="F8FAFC"/>
            <w:tcMar>
              <w:top w:w="100" w:type="dxa"/>
              <w:bottom w:w="100" w:type="dxa"/>
              <w:left w:w="140" w:type="dxa"/>
              <w:right w:w="140" w:type="dxa"/>
            </w:tcMar>
          </w:tcPr>
          <w:p>
            <w:pPr>
              <w:jc w:val="left"/>
            </w:pPr>
            <w:r>
              <w:rPr>
                <w:rFonts w:ascii="Calibri" w:hAnsi="Calibri"/>
                <w:color w:val="1E293B"/>
                <w:sz w:val="18"/>
              </w:rPr>
              <w:t>kbm-platform-payment-service</w:t>
            </w:r>
          </w:p>
        </w:tc>
        <w:tc>
          <w:tcPr>
            <w:tcW w:type="dxa" w:w="1584"/>
            <w:shd w:fill="F8FAFC"/>
            <w:tcMar>
              <w:top w:w="100" w:type="dxa"/>
              <w:bottom w:w="100" w:type="dxa"/>
              <w:left w:w="140" w:type="dxa"/>
              <w:right w:w="140" w:type="dxa"/>
            </w:tcMar>
          </w:tcPr>
          <w:p>
            <w:pPr>
              <w:jc w:val="left"/>
            </w:pPr>
            <w:r>
              <w:rPr>
                <w:rFonts w:ascii="Calibri" w:hAnsi="Calibri"/>
                <w:color w:val="1E293B"/>
                <w:sz w:val="18"/>
              </w:rPr>
              <w:t>Receipts (/tenantId)</w:t>
            </w:r>
          </w:p>
        </w:tc>
        <w:tc>
          <w:tcPr>
            <w:tcW w:type="dxa" w:w="1728"/>
            <w:shd w:fill="F8FAFC"/>
            <w:tcMar>
              <w:top w:w="100" w:type="dxa"/>
              <w:bottom w:w="100" w:type="dxa"/>
              <w:left w:w="140" w:type="dxa"/>
              <w:right w:w="140" w:type="dxa"/>
            </w:tcMar>
          </w:tcPr>
          <w:p>
            <w:pPr>
              <w:jc w:val="left"/>
            </w:pPr>
            <w:r>
              <w:rPr>
                <w:rFonts w:ascii="Calibri" w:hAnsi="Calibri"/>
                <w:color w:val="1E293B"/>
                <w:sz w:val="18"/>
              </w:rPr>
              <w:t>payment-manager.test.js</w:t>
            </w:r>
          </w:p>
        </w:tc>
      </w:tr>
      <w:tr>
        <w:tc>
          <w:tcPr>
            <w:tcW w:type="dxa" w:w="1152"/>
            <w:shd w:fill="FFFFFF"/>
            <w:tcMar>
              <w:top w:w="100" w:type="dxa"/>
              <w:bottom w:w="100" w:type="dxa"/>
              <w:left w:w="140" w:type="dxa"/>
              <w:right w:w="140" w:type="dxa"/>
            </w:tcMar>
          </w:tcPr>
          <w:p>
            <w:pPr>
              <w:jc w:val="left"/>
            </w:pPr>
            <w:r>
              <w:rPr>
                <w:rFonts w:ascii="Calibri" w:hAnsi="Calibri"/>
                <w:color w:val="1E293B"/>
                <w:sz w:val="18"/>
              </w:rPr>
              <w:t>SEC-006</w:t>
            </w:r>
          </w:p>
        </w:tc>
        <w:tc>
          <w:tcPr>
            <w:tcW w:type="dxa" w:w="2304"/>
            <w:shd w:fill="FFFFFF"/>
            <w:tcMar>
              <w:top w:w="100" w:type="dxa"/>
              <w:bottom w:w="100" w:type="dxa"/>
              <w:left w:w="140" w:type="dxa"/>
              <w:right w:w="140" w:type="dxa"/>
            </w:tcMar>
          </w:tcPr>
          <w:p>
            <w:pPr>
              <w:jc w:val="left"/>
            </w:pPr>
            <w:r>
              <w:rPr>
                <w:rFonts w:ascii="Calibri" w:hAnsi="Calibri"/>
                <w:color w:val="1E293B"/>
                <w:sz w:val="18"/>
              </w:rPr>
              <w:t>Direct Object Access Isolation</w:t>
            </w:r>
          </w:p>
        </w:tc>
        <w:tc>
          <w:tcPr>
            <w:tcW w:type="dxa" w:w="1584"/>
            <w:shd w:fill="FFFFFF"/>
            <w:tcMar>
              <w:top w:w="100" w:type="dxa"/>
              <w:bottom w:w="100" w:type="dxa"/>
              <w:left w:w="140" w:type="dxa"/>
              <w:right w:w="140" w:type="dxa"/>
            </w:tcMar>
          </w:tcPr>
          <w:p>
            <w:pPr>
              <w:jc w:val="left"/>
            </w:pPr>
            <w:r>
              <w:rPr>
                <w:rFonts w:ascii="Calibri" w:hAnsi="Calibri"/>
                <w:color w:val="1E293B"/>
                <w:sz w:val="18"/>
              </w:rPr>
              <w:t>BRD-CONFIRMED</w:t>
            </w:r>
          </w:p>
        </w:tc>
        <w:tc>
          <w:tcPr>
            <w:tcW w:type="dxa" w:w="2160"/>
            <w:shd w:fill="FFFFFF"/>
            <w:tcMar>
              <w:top w:w="100" w:type="dxa"/>
              <w:bottom w:w="100" w:type="dxa"/>
              <w:left w:w="140" w:type="dxa"/>
              <w:right w:w="140" w:type="dxa"/>
            </w:tcMar>
          </w:tcPr>
          <w:p>
            <w:pPr>
              <w:jc w:val="left"/>
            </w:pPr>
            <w:r>
              <w:rPr>
                <w:rFonts w:ascii="Calibri" w:hAnsi="Calibri"/>
                <w:color w:val="1E293B"/>
                <w:sz w:val="18"/>
              </w:rPr>
              <w:t>services/shared/tenant-policy.js</w:t>
            </w:r>
          </w:p>
        </w:tc>
        <w:tc>
          <w:tcPr>
            <w:tcW w:type="dxa" w:w="1584"/>
            <w:shd w:fill="FFFFFF"/>
            <w:tcMar>
              <w:top w:w="100" w:type="dxa"/>
              <w:bottom w:w="100" w:type="dxa"/>
              <w:left w:w="140" w:type="dxa"/>
              <w:right w:w="140" w:type="dxa"/>
            </w:tcMar>
          </w:tcPr>
          <w:p>
            <w:pPr>
              <w:jc w:val="left"/>
            </w:pPr>
            <w:r>
              <w:rPr>
                <w:rFonts w:ascii="Calibri" w:hAnsi="Calibri"/>
                <w:color w:val="1E293B"/>
                <w:sz w:val="18"/>
              </w:rPr>
              <w:t>All Containers</w:t>
            </w:r>
          </w:p>
        </w:tc>
        <w:tc>
          <w:tcPr>
            <w:tcW w:type="dxa" w:w="1728"/>
            <w:shd w:fill="FFFFFF"/>
            <w:tcMar>
              <w:top w:w="100" w:type="dxa"/>
              <w:bottom w:w="100" w:type="dxa"/>
              <w:left w:w="140" w:type="dxa"/>
              <w:right w:w="140" w:type="dxa"/>
            </w:tcMar>
          </w:tcPr>
          <w:p>
            <w:pPr>
              <w:jc w:val="left"/>
            </w:pPr>
            <w:r>
              <w:rPr>
                <w:rFonts w:ascii="Calibri" w:hAnsi="Calibri"/>
                <w:color w:val="1E293B"/>
                <w:sz w:val="18"/>
              </w:rPr>
              <w:t>tenant-policy.test.js</w:t>
            </w:r>
          </w:p>
        </w:tc>
      </w:tr>
      <w:tr>
        <w:tc>
          <w:tcPr>
            <w:tcW w:type="dxa" w:w="1152"/>
            <w:shd w:fill="F8FAFC"/>
            <w:tcMar>
              <w:top w:w="100" w:type="dxa"/>
              <w:bottom w:w="100" w:type="dxa"/>
              <w:left w:w="140" w:type="dxa"/>
              <w:right w:w="140" w:type="dxa"/>
            </w:tcMar>
          </w:tcPr>
          <w:p>
            <w:pPr>
              <w:jc w:val="left"/>
            </w:pPr>
            <w:r>
              <w:rPr>
                <w:rFonts w:ascii="Calibri" w:hAnsi="Calibri"/>
                <w:color w:val="1E293B"/>
                <w:sz w:val="18"/>
              </w:rPr>
              <w:t>AUD-001</w:t>
            </w:r>
          </w:p>
        </w:tc>
        <w:tc>
          <w:tcPr>
            <w:tcW w:type="dxa" w:w="2304"/>
            <w:shd w:fill="F8FAFC"/>
            <w:tcMar>
              <w:top w:w="100" w:type="dxa"/>
              <w:bottom w:w="100" w:type="dxa"/>
              <w:left w:w="140" w:type="dxa"/>
              <w:right w:w="140" w:type="dxa"/>
            </w:tcMar>
          </w:tcPr>
          <w:p>
            <w:pPr>
              <w:jc w:val="left"/>
            </w:pPr>
            <w:r>
              <w:rPr>
                <w:rFonts w:ascii="Calibri" w:hAnsi="Calibri"/>
                <w:color w:val="1E293B"/>
                <w:sz w:val="18"/>
              </w:rPr>
              <w:t>Immutable SHA-256 Chained Trail</w:t>
            </w:r>
          </w:p>
        </w:tc>
        <w:tc>
          <w:tcPr>
            <w:tcW w:type="dxa" w:w="1584"/>
            <w:shd w:fill="F8FAFC"/>
            <w:tcMar>
              <w:top w:w="100" w:type="dxa"/>
              <w:bottom w:w="100" w:type="dxa"/>
              <w:left w:w="140" w:type="dxa"/>
              <w:right w:w="140" w:type="dxa"/>
            </w:tcMar>
          </w:tcPr>
          <w:p>
            <w:pPr>
              <w:jc w:val="left"/>
            </w:pPr>
            <w:r>
              <w:rPr>
                <w:rFonts w:ascii="Calibri" w:hAnsi="Calibri"/>
                <w:color w:val="1E293B"/>
                <w:sz w:val="18"/>
              </w:rPr>
              <w:t>BRD-CONFIRMED</w:t>
            </w:r>
          </w:p>
        </w:tc>
        <w:tc>
          <w:tcPr>
            <w:tcW w:type="dxa" w:w="2160"/>
            <w:shd w:fill="F8FAFC"/>
            <w:tcMar>
              <w:top w:w="100" w:type="dxa"/>
              <w:bottom w:w="100" w:type="dxa"/>
              <w:left w:w="140" w:type="dxa"/>
              <w:right w:w="140" w:type="dxa"/>
            </w:tcMar>
          </w:tcPr>
          <w:p>
            <w:pPr>
              <w:jc w:val="left"/>
            </w:pPr>
            <w:r>
              <w:rPr>
                <w:rFonts w:ascii="Calibri" w:hAnsi="Calibri"/>
                <w:color w:val="1E293B"/>
                <w:sz w:val="18"/>
              </w:rPr>
              <w:t>kbm-platform-audit-service</w:t>
            </w:r>
          </w:p>
        </w:tc>
        <w:tc>
          <w:tcPr>
            <w:tcW w:type="dxa" w:w="1584"/>
            <w:shd w:fill="F8FAFC"/>
            <w:tcMar>
              <w:top w:w="100" w:type="dxa"/>
              <w:bottom w:w="100" w:type="dxa"/>
              <w:left w:w="140" w:type="dxa"/>
              <w:right w:w="140" w:type="dxa"/>
            </w:tcMar>
          </w:tcPr>
          <w:p>
            <w:pPr>
              <w:jc w:val="left"/>
            </w:pPr>
            <w:r>
              <w:rPr>
                <w:rFonts w:ascii="Calibri" w:hAnsi="Calibri"/>
                <w:color w:val="1E293B"/>
                <w:sz w:val="18"/>
              </w:rPr>
              <w:t>AuditEvents (/tenantId)</w:t>
            </w:r>
          </w:p>
        </w:tc>
        <w:tc>
          <w:tcPr>
            <w:tcW w:type="dxa" w:w="1728"/>
            <w:shd w:fill="F8FAFC"/>
            <w:tcMar>
              <w:top w:w="100" w:type="dxa"/>
              <w:bottom w:w="100" w:type="dxa"/>
              <w:left w:w="140" w:type="dxa"/>
              <w:right w:w="140" w:type="dxa"/>
            </w:tcMar>
          </w:tcPr>
          <w:p>
            <w:pPr>
              <w:jc w:val="left"/>
            </w:pPr>
            <w:r>
              <w:rPr>
                <w:rFonts w:ascii="Calibri" w:hAnsi="Calibri"/>
                <w:color w:val="1E293B"/>
                <w:sz w:val="18"/>
              </w:rPr>
              <w:t>audit-store.test.js</w:t>
            </w:r>
          </w:p>
        </w:tc>
      </w:tr>
      <w:tr>
        <w:tc>
          <w:tcPr>
            <w:tcW w:type="dxa" w:w="1152"/>
            <w:shd w:fill="FFFFFF"/>
            <w:tcMar>
              <w:top w:w="100" w:type="dxa"/>
              <w:bottom w:w="100" w:type="dxa"/>
              <w:left w:w="140" w:type="dxa"/>
              <w:right w:w="140" w:type="dxa"/>
            </w:tcMar>
          </w:tcPr>
          <w:p>
            <w:pPr>
              <w:jc w:val="left"/>
            </w:pPr>
            <w:r>
              <w:rPr>
                <w:rFonts w:ascii="Calibri" w:hAnsi="Calibri"/>
                <w:color w:val="1E293B"/>
                <w:sz w:val="18"/>
              </w:rPr>
              <w:t>INT-001</w:t>
            </w:r>
          </w:p>
        </w:tc>
        <w:tc>
          <w:tcPr>
            <w:tcW w:type="dxa" w:w="2304"/>
            <w:shd w:fill="FFFFFF"/>
            <w:tcMar>
              <w:top w:w="100" w:type="dxa"/>
              <w:bottom w:w="100" w:type="dxa"/>
              <w:left w:w="140" w:type="dxa"/>
              <w:right w:w="140" w:type="dxa"/>
            </w:tcMar>
          </w:tcPr>
          <w:p>
            <w:pPr>
              <w:jc w:val="left"/>
            </w:pPr>
            <w:r>
              <w:rPr>
                <w:rFonts w:ascii="Calibri" w:hAnsi="Calibri"/>
                <w:color w:val="1E293B"/>
                <w:sz w:val="18"/>
              </w:rPr>
              <w:t>Raslni Protocol Connector</w:t>
            </w:r>
          </w:p>
        </w:tc>
        <w:tc>
          <w:tcPr>
            <w:tcW w:type="dxa" w:w="1584"/>
            <w:shd w:fill="FFFFFF"/>
            <w:tcMar>
              <w:top w:w="100" w:type="dxa"/>
              <w:bottom w:w="100" w:type="dxa"/>
              <w:left w:w="140" w:type="dxa"/>
              <w:right w:w="140" w:type="dxa"/>
            </w:tcMar>
          </w:tcPr>
          <w:p>
            <w:pPr>
              <w:jc w:val="left"/>
            </w:pPr>
            <w:r>
              <w:rPr>
                <w:rFonts w:ascii="Calibri" w:hAnsi="Calibri"/>
                <w:color w:val="1E293B"/>
                <w:sz w:val="18"/>
              </w:rPr>
              <w:t>BRD-CONFIRMED</w:t>
            </w:r>
          </w:p>
        </w:tc>
        <w:tc>
          <w:tcPr>
            <w:tcW w:type="dxa" w:w="2160"/>
            <w:shd w:fill="FFFFFF"/>
            <w:tcMar>
              <w:top w:w="100" w:type="dxa"/>
              <w:bottom w:w="100" w:type="dxa"/>
              <w:left w:w="140" w:type="dxa"/>
              <w:right w:w="140" w:type="dxa"/>
            </w:tcMar>
          </w:tcPr>
          <w:p>
            <w:pPr>
              <w:jc w:val="left"/>
            </w:pPr>
            <w:r>
              <w:rPr>
                <w:rFonts w:ascii="Calibri" w:hAnsi="Calibri"/>
                <w:color w:val="1E293B"/>
                <w:sz w:val="18"/>
              </w:rPr>
              <w:t>kbm-platform-integration-service</w:t>
            </w:r>
          </w:p>
        </w:tc>
        <w:tc>
          <w:tcPr>
            <w:tcW w:type="dxa" w:w="1584"/>
            <w:shd w:fill="FFFFFF"/>
            <w:tcMar>
              <w:top w:w="100" w:type="dxa"/>
              <w:bottom w:w="100" w:type="dxa"/>
              <w:left w:w="140" w:type="dxa"/>
              <w:right w:w="140" w:type="dxa"/>
            </w:tcMar>
          </w:tcPr>
          <w:p>
            <w:pPr>
              <w:jc w:val="left"/>
            </w:pPr>
            <w:r>
              <w:rPr>
                <w:rFonts w:ascii="Calibri" w:hAnsi="Calibri"/>
                <w:color w:val="1E293B"/>
                <w:sz w:val="18"/>
              </w:rPr>
              <w:t>Tenders (/tenantId)</w:t>
            </w:r>
          </w:p>
        </w:tc>
        <w:tc>
          <w:tcPr>
            <w:tcW w:type="dxa" w:w="1728"/>
            <w:shd w:fill="FFFFFF"/>
            <w:tcMar>
              <w:top w:w="100" w:type="dxa"/>
              <w:bottom w:w="100" w:type="dxa"/>
              <w:left w:w="140" w:type="dxa"/>
              <w:right w:w="140" w:type="dxa"/>
            </w:tcMar>
          </w:tcPr>
          <w:p>
            <w:pPr>
              <w:jc w:val="left"/>
            </w:pPr>
            <w:r>
              <w:rPr>
                <w:rFonts w:ascii="Calibri" w:hAnsi="Calibri"/>
                <w:color w:val="1E293B"/>
                <w:sz w:val="18"/>
              </w:rPr>
              <w:t>integration-adapters.test.js</w:t>
            </w:r>
          </w:p>
        </w:tc>
      </w:tr>
      <w:tr>
        <w:tc>
          <w:tcPr>
            <w:tcW w:type="dxa" w:w="1152"/>
            <w:shd w:fill="F8FAFC"/>
            <w:tcMar>
              <w:top w:w="100" w:type="dxa"/>
              <w:bottom w:w="100" w:type="dxa"/>
              <w:left w:w="140" w:type="dxa"/>
              <w:right w:w="140" w:type="dxa"/>
            </w:tcMar>
          </w:tcPr>
          <w:p>
            <w:pPr>
              <w:jc w:val="left"/>
            </w:pPr>
            <w:r>
              <w:rPr>
                <w:rFonts w:ascii="Calibri" w:hAnsi="Calibri"/>
                <w:color w:val="1E293B"/>
                <w:sz w:val="18"/>
              </w:rPr>
              <w:t>INT-002</w:t>
            </w:r>
          </w:p>
        </w:tc>
        <w:tc>
          <w:tcPr>
            <w:tcW w:type="dxa" w:w="2304"/>
            <w:shd w:fill="F8FAFC"/>
            <w:tcMar>
              <w:top w:w="100" w:type="dxa"/>
              <w:bottom w:w="100" w:type="dxa"/>
              <w:left w:w="140" w:type="dxa"/>
              <w:right w:w="140" w:type="dxa"/>
            </w:tcMar>
          </w:tcPr>
          <w:p>
            <w:pPr>
              <w:jc w:val="left"/>
            </w:pPr>
            <w:r>
              <w:rPr>
                <w:rFonts w:ascii="Calibri" w:hAnsi="Calibri"/>
                <w:color w:val="1E293B"/>
                <w:sz w:val="18"/>
              </w:rPr>
              <w:t>MoCI Classification Catalog</w:t>
            </w:r>
          </w:p>
        </w:tc>
        <w:tc>
          <w:tcPr>
            <w:tcW w:type="dxa" w:w="1584"/>
            <w:shd w:fill="F8FAFC"/>
            <w:tcMar>
              <w:top w:w="100" w:type="dxa"/>
              <w:bottom w:w="100" w:type="dxa"/>
              <w:left w:w="140" w:type="dxa"/>
              <w:right w:w="140" w:type="dxa"/>
            </w:tcMar>
          </w:tcPr>
          <w:p>
            <w:pPr>
              <w:jc w:val="left"/>
            </w:pPr>
            <w:r>
              <w:rPr>
                <w:rFonts w:ascii="Calibri" w:hAnsi="Calibri"/>
                <w:color w:val="1E293B"/>
                <w:sz w:val="18"/>
              </w:rPr>
              <w:t>BRD-CONFIRMED</w:t>
            </w:r>
          </w:p>
        </w:tc>
        <w:tc>
          <w:tcPr>
            <w:tcW w:type="dxa" w:w="2160"/>
            <w:shd w:fill="F8FAFC"/>
            <w:tcMar>
              <w:top w:w="100" w:type="dxa"/>
              <w:bottom w:w="100" w:type="dxa"/>
              <w:left w:w="140" w:type="dxa"/>
              <w:right w:w="140" w:type="dxa"/>
            </w:tcMar>
          </w:tcPr>
          <w:p>
            <w:pPr>
              <w:jc w:val="left"/>
            </w:pPr>
            <w:r>
              <w:rPr>
                <w:rFonts w:ascii="Calibri" w:hAnsi="Calibri"/>
                <w:color w:val="1E293B"/>
                <w:sz w:val="18"/>
              </w:rPr>
              <w:t>kbm-platform-integration-service</w:t>
            </w:r>
          </w:p>
        </w:tc>
        <w:tc>
          <w:tcPr>
            <w:tcW w:type="dxa" w:w="1584"/>
            <w:shd w:fill="F8FAFC"/>
            <w:tcMar>
              <w:top w:w="100" w:type="dxa"/>
              <w:bottom w:w="100" w:type="dxa"/>
              <w:left w:w="140" w:type="dxa"/>
              <w:right w:w="140" w:type="dxa"/>
            </w:tcMar>
          </w:tcPr>
          <w:p>
            <w:pPr>
              <w:jc w:val="left"/>
            </w:pPr>
            <w:r>
              <w:rPr>
                <w:rFonts w:ascii="Calibri" w:hAnsi="Calibri"/>
                <w:color w:val="1E293B"/>
                <w:sz w:val="18"/>
              </w:rPr>
              <w:t>Reference Data</w:t>
            </w:r>
          </w:p>
        </w:tc>
        <w:tc>
          <w:tcPr>
            <w:tcW w:type="dxa" w:w="1728"/>
            <w:shd w:fill="F8FAFC"/>
            <w:tcMar>
              <w:top w:w="100" w:type="dxa"/>
              <w:bottom w:w="100" w:type="dxa"/>
              <w:left w:w="140" w:type="dxa"/>
              <w:right w:w="140" w:type="dxa"/>
            </w:tcMar>
          </w:tcPr>
          <w:p>
            <w:pPr>
              <w:jc w:val="left"/>
            </w:pPr>
            <w:r>
              <w:rPr>
                <w:rFonts w:ascii="Calibri" w:hAnsi="Calibri"/>
                <w:color w:val="1E293B"/>
                <w:sz w:val="18"/>
              </w:rPr>
              <w:t>integration-adapters.test.js</w:t>
            </w:r>
          </w:p>
        </w:tc>
      </w:tr>
      <w:tr>
        <w:tc>
          <w:tcPr>
            <w:tcW w:type="dxa" w:w="1152"/>
            <w:shd w:fill="FFFFFF"/>
            <w:tcMar>
              <w:top w:w="100" w:type="dxa"/>
              <w:bottom w:w="100" w:type="dxa"/>
              <w:left w:w="140" w:type="dxa"/>
              <w:right w:w="140" w:type="dxa"/>
            </w:tcMar>
          </w:tcPr>
          <w:p>
            <w:pPr>
              <w:jc w:val="left"/>
            </w:pPr>
            <w:r>
              <w:rPr>
                <w:rFonts w:ascii="Calibri" w:hAnsi="Calibri"/>
                <w:color w:val="1E293B"/>
                <w:sz w:val="18"/>
              </w:rPr>
              <w:t>INT-004</w:t>
            </w:r>
          </w:p>
        </w:tc>
        <w:tc>
          <w:tcPr>
            <w:tcW w:type="dxa" w:w="2304"/>
            <w:shd w:fill="FFFFFF"/>
            <w:tcMar>
              <w:top w:w="100" w:type="dxa"/>
              <w:bottom w:w="100" w:type="dxa"/>
              <w:left w:w="140" w:type="dxa"/>
              <w:right w:w="140" w:type="dxa"/>
            </w:tcMar>
          </w:tcPr>
          <w:p>
            <w:pPr>
              <w:jc w:val="left"/>
            </w:pPr>
            <w:r>
              <w:rPr>
                <w:rFonts w:ascii="Calibri" w:hAnsi="Calibri"/>
                <w:color w:val="1E293B"/>
                <w:sz w:val="18"/>
              </w:rPr>
              <w:t>Entra ID Group Role Mapper</w:t>
            </w:r>
          </w:p>
        </w:tc>
        <w:tc>
          <w:tcPr>
            <w:tcW w:type="dxa" w:w="1584"/>
            <w:shd w:fill="FFFFFF"/>
            <w:tcMar>
              <w:top w:w="100" w:type="dxa"/>
              <w:bottom w:w="100" w:type="dxa"/>
              <w:left w:w="140" w:type="dxa"/>
              <w:right w:w="140" w:type="dxa"/>
            </w:tcMar>
          </w:tcPr>
          <w:p>
            <w:pPr>
              <w:jc w:val="left"/>
            </w:pPr>
            <w:r>
              <w:rPr>
                <w:rFonts w:ascii="Calibri" w:hAnsi="Calibri"/>
                <w:color w:val="1E293B"/>
                <w:sz w:val="18"/>
              </w:rPr>
              <w:t>BRD-CONFIRMED</w:t>
            </w:r>
          </w:p>
        </w:tc>
        <w:tc>
          <w:tcPr>
            <w:tcW w:type="dxa" w:w="2160"/>
            <w:shd w:fill="FFFFFF"/>
            <w:tcMar>
              <w:top w:w="100" w:type="dxa"/>
              <w:bottom w:w="100" w:type="dxa"/>
              <w:left w:w="140" w:type="dxa"/>
              <w:right w:w="140" w:type="dxa"/>
            </w:tcMar>
          </w:tcPr>
          <w:p>
            <w:pPr>
              <w:jc w:val="left"/>
            </w:pPr>
            <w:r>
              <w:rPr>
                <w:rFonts w:ascii="Calibri" w:hAnsi="Calibri"/>
                <w:color w:val="1E293B"/>
                <w:sz w:val="18"/>
              </w:rPr>
              <w:t>kbm-platform-integration-service</w:t>
            </w:r>
          </w:p>
        </w:tc>
        <w:tc>
          <w:tcPr>
            <w:tcW w:type="dxa" w:w="1584"/>
            <w:shd w:fill="FFFFFF"/>
            <w:tcMar>
              <w:top w:w="100" w:type="dxa"/>
              <w:bottom w:w="100" w:type="dxa"/>
              <w:left w:w="140" w:type="dxa"/>
              <w:right w:w="140" w:type="dxa"/>
            </w:tcMar>
          </w:tcPr>
          <w:p>
            <w:pPr>
              <w:jc w:val="left"/>
            </w:pPr>
            <w:r>
              <w:rPr>
                <w:rFonts w:ascii="Calibri" w:hAnsi="Calibri"/>
                <w:color w:val="1E293B"/>
                <w:sz w:val="18"/>
              </w:rPr>
              <w:t>Session Claims</w:t>
            </w:r>
          </w:p>
        </w:tc>
        <w:tc>
          <w:tcPr>
            <w:tcW w:type="dxa" w:w="1728"/>
            <w:shd w:fill="FFFFFF"/>
            <w:tcMar>
              <w:top w:w="100" w:type="dxa"/>
              <w:bottom w:w="100" w:type="dxa"/>
              <w:left w:w="140" w:type="dxa"/>
              <w:right w:w="140" w:type="dxa"/>
            </w:tcMar>
          </w:tcPr>
          <w:p>
            <w:pPr>
              <w:jc w:val="left"/>
            </w:pPr>
            <w:r>
              <w:rPr>
                <w:rFonts w:ascii="Calibri" w:hAnsi="Calibri"/>
                <w:color w:val="1E293B"/>
                <w:sz w:val="18"/>
              </w:rPr>
              <w:t>integration-adapters.test.js</w:t>
            </w:r>
          </w:p>
        </w:tc>
      </w:tr>
      <w:tr>
        <w:tc>
          <w:tcPr>
            <w:tcW w:type="dxa" w:w="1152"/>
            <w:shd w:fill="F8FAFC"/>
            <w:tcMar>
              <w:top w:w="100" w:type="dxa"/>
              <w:bottom w:w="100" w:type="dxa"/>
              <w:left w:w="140" w:type="dxa"/>
              <w:right w:w="140" w:type="dxa"/>
            </w:tcMar>
          </w:tcPr>
          <w:p>
            <w:pPr>
              <w:jc w:val="left"/>
            </w:pPr>
            <w:r>
              <w:rPr>
                <w:rFonts w:ascii="Calibri" w:hAnsi="Calibri"/>
                <w:color w:val="1E293B"/>
                <w:sz w:val="18"/>
              </w:rPr>
              <w:t>MKT-001</w:t>
            </w:r>
          </w:p>
        </w:tc>
        <w:tc>
          <w:tcPr>
            <w:tcW w:type="dxa" w:w="2304"/>
            <w:shd w:fill="F8FAFC"/>
            <w:tcMar>
              <w:top w:w="100" w:type="dxa"/>
              <w:bottom w:w="100" w:type="dxa"/>
              <w:left w:w="140" w:type="dxa"/>
              <w:right w:w="140" w:type="dxa"/>
            </w:tcMar>
          </w:tcPr>
          <w:p>
            <w:pPr>
              <w:jc w:val="left"/>
            </w:pPr>
            <w:r>
              <w:rPr>
                <w:rFonts w:ascii="Calibri" w:hAnsi="Calibri"/>
                <w:color w:val="1E293B"/>
                <w:sz w:val="18"/>
              </w:rPr>
              <w:t>Marketplace SaaS Fulfillment v2</w:t>
            </w:r>
          </w:p>
        </w:tc>
        <w:tc>
          <w:tcPr>
            <w:tcW w:type="dxa" w:w="1584"/>
            <w:shd w:fill="F8FAFC"/>
            <w:tcMar>
              <w:top w:w="100" w:type="dxa"/>
              <w:bottom w:w="100" w:type="dxa"/>
              <w:left w:w="140" w:type="dxa"/>
              <w:right w:w="140" w:type="dxa"/>
            </w:tcMar>
          </w:tcPr>
          <w:p>
            <w:pPr>
              <w:jc w:val="left"/>
            </w:pPr>
            <w:r>
              <w:rPr>
                <w:rFonts w:ascii="Calibri" w:hAnsi="Calibri"/>
                <w:color w:val="1E293B"/>
                <w:sz w:val="18"/>
              </w:rPr>
              <w:t>ENGINEERING</w:t>
            </w:r>
          </w:p>
        </w:tc>
        <w:tc>
          <w:tcPr>
            <w:tcW w:type="dxa" w:w="2160"/>
            <w:shd w:fill="F8FAFC"/>
            <w:tcMar>
              <w:top w:w="100" w:type="dxa"/>
              <w:bottom w:w="100" w:type="dxa"/>
              <w:left w:w="140" w:type="dxa"/>
              <w:right w:w="140" w:type="dxa"/>
            </w:tcMar>
          </w:tcPr>
          <w:p>
            <w:pPr>
              <w:jc w:val="left"/>
            </w:pPr>
            <w:r>
              <w:rPr>
                <w:rFonts w:ascii="Calibri" w:hAnsi="Calibri"/>
                <w:color w:val="1E293B"/>
                <w:sz w:val="18"/>
              </w:rPr>
              <w:t>kbm-platform-marketplace-service</w:t>
            </w:r>
          </w:p>
        </w:tc>
        <w:tc>
          <w:tcPr>
            <w:tcW w:type="dxa" w:w="1584"/>
            <w:shd w:fill="F8FAFC"/>
            <w:tcMar>
              <w:top w:w="100" w:type="dxa"/>
              <w:bottom w:w="100" w:type="dxa"/>
              <w:left w:w="140" w:type="dxa"/>
              <w:right w:w="140" w:type="dxa"/>
            </w:tcMar>
          </w:tcPr>
          <w:p>
            <w:pPr>
              <w:jc w:val="left"/>
            </w:pPr>
            <w:r>
              <w:rPr>
                <w:rFonts w:ascii="Calibri" w:hAnsi="Calibri"/>
                <w:color w:val="1E293B"/>
                <w:sz w:val="18"/>
              </w:rPr>
              <w:t>Marketplace Subscriptions</w:t>
            </w:r>
          </w:p>
        </w:tc>
        <w:tc>
          <w:tcPr>
            <w:tcW w:type="dxa" w:w="1728"/>
            <w:shd w:fill="F8FAFC"/>
            <w:tcMar>
              <w:top w:w="100" w:type="dxa"/>
              <w:bottom w:w="100" w:type="dxa"/>
              <w:left w:w="140" w:type="dxa"/>
              <w:right w:w="140" w:type="dxa"/>
            </w:tcMar>
          </w:tcPr>
          <w:p>
            <w:pPr>
              <w:jc w:val="left"/>
            </w:pPr>
            <w:r>
              <w:rPr>
                <w:rFonts w:ascii="Calibri" w:hAnsi="Calibri"/>
                <w:color w:val="1E293B"/>
                <w:sz w:val="18"/>
              </w:rPr>
              <w:t>marketplace-manager.test.js</w:t>
            </w:r>
          </w:p>
        </w:tc>
      </w:tr>
    </w:tbl>
    <w:p/>
    <w:p>
      <w:pPr>
        <w:pStyle w:val="Heading1"/>
      </w:pPr>
      <w:r>
        <w:rPr>
          <w:rFonts w:ascii="Arial" w:hAnsi="Arial"/>
          <w:color w:val="1E3A8A"/>
        </w:rPr>
        <w:t>4. High-Level Architectural Topology (With Visual Diagram)</w:t>
      </w:r>
    </w:p>
    <w:p>
      <w:r>
        <w:t>The diagram below illustrates the 6-layer decoupled topology of the KBM Platform, spanning client presentation, edge security, core microservices, integration adapters, Azure Cosmos DB persistence, and external government networks:</w:t>
      </w:r>
    </w:p>
    <w:p>
      <w:r>
        <w:drawing>
          <wp:inline xmlns:a="http://schemas.openxmlformats.org/drawingml/2006/main" xmlns:pic="http://schemas.openxmlformats.org/drawingml/2006/picture">
            <wp:extent cx="5943600" cy="3945751"/>
            <wp:docPr id="1" name="Picture 1"/>
            <wp:cNvGraphicFramePr>
              <a:graphicFrameLocks noChangeAspect="1"/>
            </wp:cNvGraphicFramePr>
            <a:graphic>
              <a:graphicData uri="http://schemas.openxmlformats.org/drawingml/2006/picture">
                <pic:pic>
                  <pic:nvPicPr>
                    <pic:cNvPr id="0" name="diagram_topology.png"/>
                    <pic:cNvPicPr/>
                  </pic:nvPicPr>
                  <pic:blipFill>
                    <a:blip r:embed="rId9"/>
                    <a:stretch>
                      <a:fillRect/>
                    </a:stretch>
                  </pic:blipFill>
                  <pic:spPr>
                    <a:xfrm>
                      <a:off x="0" y="0"/>
                      <a:ext cx="5943600" cy="3945751"/>
                    </a:xfrm>
                    <a:prstGeom prst="rect"/>
                  </pic:spPr>
                </pic:pic>
              </a:graphicData>
            </a:graphic>
          </wp:inline>
        </w:drawing>
      </w:r>
    </w:p>
    <w:p>
      <w:pPr>
        <w:jc w:val="center"/>
      </w:pPr>
      <w:r>
        <w:rPr>
          <w:i/>
          <w:color w:val="64748B"/>
          <w:sz w:val="17"/>
        </w:rPr>
        <w:t>Figure 1: KBM End-to-End System Topology &amp; Layered Architecture</w:t>
      </w:r>
    </w:p>
    <w:p/>
    <w:p>
      <w:pPr>
        <w:pStyle w:val="Heading1"/>
      </w:pPr>
      <w:r>
        <w:rPr>
          <w:rFonts w:ascii="Arial" w:hAnsi="Arial"/>
          <w:color w:val="1E3A8A"/>
        </w:rPr>
        <w:t>5. Statutory Tender Lifecycle &amp; Regulatory Approval Pipeline</w:t>
      </w:r>
    </w:p>
    <w:p>
      <w:r>
        <w:t>The platform coordinates all 5 statutory phases of Kuwait public tendering, tracking legal oversight bodies, SLA thresholds, and mandatory approvals:</w:t>
      </w:r>
    </w:p>
    <w:p>
      <w:r>
        <w:drawing>
          <wp:inline xmlns:a="http://schemas.openxmlformats.org/drawingml/2006/main" xmlns:pic="http://schemas.openxmlformats.org/drawingml/2006/picture">
            <wp:extent cx="5943600" cy="3196558"/>
            <wp:docPr id="2" name="Picture 2"/>
            <wp:cNvGraphicFramePr>
              <a:graphicFrameLocks noChangeAspect="1"/>
            </wp:cNvGraphicFramePr>
            <a:graphic>
              <a:graphicData uri="http://schemas.openxmlformats.org/drawingml/2006/picture">
                <pic:pic>
                  <pic:nvPicPr>
                    <pic:cNvPr id="0" name="diagram_lifecycle.png"/>
                    <pic:cNvPicPr/>
                  </pic:nvPicPr>
                  <pic:blipFill>
                    <a:blip r:embed="rId10"/>
                    <a:stretch>
                      <a:fillRect/>
                    </a:stretch>
                  </pic:blipFill>
                  <pic:spPr>
                    <a:xfrm>
                      <a:off x="0" y="0"/>
                      <a:ext cx="5943600" cy="3196558"/>
                    </a:xfrm>
                    <a:prstGeom prst="rect"/>
                  </pic:spPr>
                </pic:pic>
              </a:graphicData>
            </a:graphic>
          </wp:inline>
        </w:drawing>
      </w:r>
    </w:p>
    <w:p>
      <w:pPr>
        <w:jc w:val="center"/>
      </w:pPr>
      <w:r>
        <w:rPr>
          <w:i/>
          <w:color w:val="64748B"/>
          <w:sz w:val="17"/>
        </w:rPr>
        <w:t>Figure 2: Kuwait Public Procurement Statutory Lifecycle &amp; Approval Pipeline</w:t>
      </w:r>
    </w:p>
    <w:p/>
    <w:p>
      <w:pPr>
        <w:pStyle w:val="Heading1"/>
      </w:pPr>
      <w:r>
        <w:rPr>
          <w:rFonts w:ascii="Arial" w:hAnsi="Arial"/>
          <w:color w:val="1E3A8A"/>
        </w:rPr>
        <w:t>6. Multi-Tenant Data Isolation &amp; Cryptographic Security Model</w:t>
      </w:r>
    </w:p>
    <w:p>
      <w:r>
        <w:t>Security is enforced through multi-layered defensive controls, including BOLA/IDOR prevention in tenant-policy.js, dynamic anti-screenshot canvas watermarking, and Cosmos DB SHA-256 cryptographic audit chaining:</w:t>
      </w:r>
    </w:p>
    <w:p>
      <w:r>
        <w:drawing>
          <wp:inline xmlns:a="http://schemas.openxmlformats.org/drawingml/2006/main" xmlns:pic="http://schemas.openxmlformats.org/drawingml/2006/picture">
            <wp:extent cx="5943600" cy="3196558"/>
            <wp:docPr id="3" name="Picture 3"/>
            <wp:cNvGraphicFramePr>
              <a:graphicFrameLocks noChangeAspect="1"/>
            </wp:cNvGraphicFramePr>
            <a:graphic>
              <a:graphicData uri="http://schemas.openxmlformats.org/drawingml/2006/picture">
                <pic:pic>
                  <pic:nvPicPr>
                    <pic:cNvPr id="0" name="diagram_security.png"/>
                    <pic:cNvPicPr/>
                  </pic:nvPicPr>
                  <pic:blipFill>
                    <a:blip r:embed="rId11"/>
                    <a:stretch>
                      <a:fillRect/>
                    </a:stretch>
                  </pic:blipFill>
                  <pic:spPr>
                    <a:xfrm>
                      <a:off x="0" y="0"/>
                      <a:ext cx="5943600" cy="3196558"/>
                    </a:xfrm>
                    <a:prstGeom prst="rect"/>
                  </pic:spPr>
                </pic:pic>
              </a:graphicData>
            </a:graphic>
          </wp:inline>
        </w:drawing>
      </w:r>
    </w:p>
    <w:p>
      <w:pPr>
        <w:jc w:val="center"/>
      </w:pPr>
      <w:r>
        <w:rPr>
          <w:i/>
          <w:color w:val="64748B"/>
          <w:sz w:val="17"/>
        </w:rPr>
        <w:t>Figure 3: Multi-Tenant Data Isolation &amp; Cryptographic Audit Ledger Architecture</w:t>
      </w:r>
    </w:p>
    <w:p/>
    <w:p>
      <w:pPr>
        <w:pStyle w:val="Heading1"/>
      </w:pPr>
      <w:r>
        <w:rPr>
          <w:rFonts w:ascii="Arial" w:hAnsi="Arial"/>
          <w:color w:val="1E3A8A"/>
        </w:rPr>
        <w:t>7. Microsoft Azure Cloud Deployment &amp; CI/CD Pipeline</w:t>
      </w:r>
    </w:p>
    <w:p>
      <w:r>
        <w:t>The platform is live on Microsoft Azure using Azure App Service and Azure Cosmos DB Free Tier, backed by automated GitHub Actions CI/CD workflows:</w:t>
      </w:r>
    </w:p>
    <w:p>
      <w:r>
        <w:drawing>
          <wp:inline xmlns:a="http://schemas.openxmlformats.org/drawingml/2006/main" xmlns:pic="http://schemas.openxmlformats.org/drawingml/2006/picture">
            <wp:extent cx="5943600" cy="3196558"/>
            <wp:docPr id="4" name="Picture 4"/>
            <wp:cNvGraphicFramePr>
              <a:graphicFrameLocks noChangeAspect="1"/>
            </wp:cNvGraphicFramePr>
            <a:graphic>
              <a:graphicData uri="http://schemas.openxmlformats.org/drawingml/2006/picture">
                <pic:pic>
                  <pic:nvPicPr>
                    <pic:cNvPr id="0" name="diagram_infrastructure.png"/>
                    <pic:cNvPicPr/>
                  </pic:nvPicPr>
                  <pic:blipFill>
                    <a:blip r:embed="rId12"/>
                    <a:stretch>
                      <a:fillRect/>
                    </a:stretch>
                  </pic:blipFill>
                  <pic:spPr>
                    <a:xfrm>
                      <a:off x="0" y="0"/>
                      <a:ext cx="5943600" cy="3196558"/>
                    </a:xfrm>
                    <a:prstGeom prst="rect"/>
                  </pic:spPr>
                </pic:pic>
              </a:graphicData>
            </a:graphic>
          </wp:inline>
        </w:drawing>
      </w:r>
    </w:p>
    <w:p>
      <w:pPr>
        <w:jc w:val="center"/>
      </w:pPr>
      <w:r>
        <w:rPr>
          <w:i/>
          <w:color w:val="64748B"/>
          <w:sz w:val="17"/>
        </w:rPr>
        <w:t>Figure 4: Microsoft Azure Cloud Infrastructure &amp; GitHub Actions CI/CD Pipeline</w:t>
      </w:r>
    </w:p>
    <w:p/>
    <w:tbl>
      <w:tblPr>
        <w:tblW w:type="auto" w:w="0"/>
        <w:jc w:val="center"/>
        <w:tblLayout w:type="fixed"/>
        <w:tblLook w:firstColumn="1" w:firstRow="1" w:lastColumn="0" w:lastRow="0" w:noHBand="0" w:noVBand="1" w:val="04A0"/>
      </w:tblPr>
      <w:tblGrid>
        <w:gridCol w:w="9360"/>
      </w:tblGrid>
      <w:tr>
        <w:tc>
          <w:tcPr>
            <w:tcW w:type="dxa" w:w="9360"/>
            <w:shd w:fill="EFF6FF"/>
            <w:tcMar>
              <w:top w:w="140" w:type="dxa"/>
              <w:bottom w:w="140" w:type="dxa"/>
              <w:left w:w="180" w:type="dxa"/>
              <w:right w:w="180" w:type="dxa"/>
            </w:tcMar>
          </w:tcPr>
          <w:p>
            <w:r>
              <w:rPr>
                <w:rFonts w:ascii="Calibri" w:hAnsi="Calibri"/>
                <w:b/>
                <w:color w:val="1E3A8A"/>
                <w:sz w:val="21"/>
              </w:rPr>
              <w:t>📌 Live Azure Deployment Verification</w:t>
              <w:br/>
            </w:r>
            <w:r>
              <w:rPr>
                <w:rFonts w:ascii="Calibri" w:hAnsi="Calibri"/>
                <w:color w:val="1E293B"/>
                <w:sz w:val="19"/>
              </w:rPr>
              <w:t>• Portal URL: https://kbm-platform-portal.azurewebsites.net</w:t>
              <w:br/>
              <w:t>• Health Endpoint: https://kbm-platform-portal.azurewebsites.net/health</w:t>
              <w:br/>
              <w:t>• Cosmos DB Endpoint: https://kbm-cosmos-uyhsofjy5a23s.documents.azure.com:443/</w:t>
              <w:br/>
              <w:t>• Cosmos DB Database: kbm-procurement-db (Shared 1,000 RU/s Free Tier)</w:t>
              <w:br/>
              <w:t>• GitHub Repository: https://github.com/6439144/kbm-tendering (CI: 100% Passing - 35 Tests)</w:t>
            </w:r>
          </w:p>
        </w:tc>
      </w:tr>
    </w:tbl>
    <w:p/>
    <w:p>
      <w:pPr>
        <w:pStyle w:val="Heading1"/>
      </w:pPr>
      <w:r>
        <w:rPr>
          <w:rFonts w:ascii="Arial" w:hAnsi="Arial"/>
          <w:color w:val="1E3A8A"/>
        </w:rPr>
        <w:t>8. Architectural Governance &amp; Sign-Off Sheet</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160"/>
            <w:shd w:fill="1E3A8A"/>
            <w:tcMar>
              <w:top w:w="140" w:type="dxa"/>
              <w:bottom w:w="140" w:type="dxa"/>
              <w:left w:w="150" w:type="dxa"/>
              <w:right w:w="150" w:type="dxa"/>
            </w:tcMar>
          </w:tcPr>
          <w:p>
            <w:pPr>
              <w:jc w:val="left"/>
            </w:pPr>
            <w:r>
              <w:rPr>
                <w:rFonts w:ascii="Calibri" w:hAnsi="Calibri"/>
                <w:b/>
                <w:color w:val="FFFFFF"/>
                <w:sz w:val="19"/>
              </w:rPr>
              <w:t>Governance Role</w:t>
            </w:r>
          </w:p>
        </w:tc>
        <w:tc>
          <w:tcPr>
            <w:tcW w:type="dxa" w:w="2016"/>
            <w:shd w:fill="1E3A8A"/>
            <w:tcMar>
              <w:top w:w="140" w:type="dxa"/>
              <w:bottom w:w="140" w:type="dxa"/>
              <w:left w:w="150" w:type="dxa"/>
              <w:right w:w="150" w:type="dxa"/>
            </w:tcMar>
          </w:tcPr>
          <w:p>
            <w:pPr>
              <w:jc w:val="left"/>
            </w:pPr>
            <w:r>
              <w:rPr>
                <w:rFonts w:ascii="Calibri" w:hAnsi="Calibri"/>
                <w:b/>
                <w:color w:val="FFFFFF"/>
                <w:sz w:val="19"/>
              </w:rPr>
              <w:t>Name / Title</w:t>
            </w:r>
          </w:p>
        </w:tc>
        <w:tc>
          <w:tcPr>
            <w:tcW w:type="dxa" w:w="2160"/>
            <w:shd w:fill="1E3A8A"/>
            <w:tcMar>
              <w:top w:w="140" w:type="dxa"/>
              <w:bottom w:w="140" w:type="dxa"/>
              <w:left w:w="150" w:type="dxa"/>
              <w:right w:w="150" w:type="dxa"/>
            </w:tcMar>
          </w:tcPr>
          <w:p>
            <w:pPr>
              <w:jc w:val="left"/>
            </w:pPr>
            <w:r>
              <w:rPr>
                <w:rFonts w:ascii="Calibri" w:hAnsi="Calibri"/>
                <w:b/>
                <w:color w:val="FFFFFF"/>
                <w:sz w:val="19"/>
              </w:rPr>
              <w:t>Organization / Entity</w:t>
            </w:r>
          </w:p>
        </w:tc>
        <w:tc>
          <w:tcPr>
            <w:tcW w:type="dxa" w:w="1872"/>
            <w:shd w:fill="1E3A8A"/>
            <w:tcMar>
              <w:top w:w="140" w:type="dxa"/>
              <w:bottom w:w="140" w:type="dxa"/>
              <w:left w:w="150" w:type="dxa"/>
              <w:right w:w="150" w:type="dxa"/>
            </w:tcMar>
          </w:tcPr>
          <w:p>
            <w:pPr>
              <w:jc w:val="left"/>
            </w:pPr>
            <w:r>
              <w:rPr>
                <w:rFonts w:ascii="Calibri" w:hAnsi="Calibri"/>
                <w:b/>
                <w:color w:val="FFFFFF"/>
                <w:sz w:val="19"/>
              </w:rPr>
              <w:t>Sign-Off Status</w:t>
            </w:r>
          </w:p>
        </w:tc>
        <w:tc>
          <w:tcPr>
            <w:tcW w:type="dxa" w:w="1152"/>
            <w:shd w:fill="1E3A8A"/>
            <w:tcMar>
              <w:top w:w="140" w:type="dxa"/>
              <w:bottom w:w="140" w:type="dxa"/>
              <w:left w:w="150" w:type="dxa"/>
              <w:right w:w="150" w:type="dxa"/>
            </w:tcMar>
          </w:tcPr>
          <w:p>
            <w:pPr>
              <w:jc w:val="left"/>
            </w:pPr>
            <w:r>
              <w:rPr>
                <w:rFonts w:ascii="Calibri" w:hAnsi="Calibri"/>
                <w:b/>
                <w:color w:val="FFFFFF"/>
                <w:sz w:val="19"/>
              </w:rPr>
              <w:t>Date</w:t>
            </w:r>
          </w:p>
        </w:tc>
      </w:tr>
      <w:tr>
        <w:tc>
          <w:tcPr>
            <w:tcW w:type="dxa" w:w="2160"/>
            <w:shd w:fill="FFFFFF"/>
            <w:tcMar>
              <w:top w:w="100" w:type="dxa"/>
              <w:bottom w:w="100" w:type="dxa"/>
              <w:left w:w="140" w:type="dxa"/>
              <w:right w:w="140" w:type="dxa"/>
            </w:tcMar>
          </w:tcPr>
          <w:p>
            <w:pPr>
              <w:jc w:val="left"/>
            </w:pPr>
            <w:r>
              <w:rPr>
                <w:rFonts w:ascii="Calibri" w:hAnsi="Calibri"/>
                <w:color w:val="1E293B"/>
                <w:sz w:val="18"/>
              </w:rPr>
              <w:t>Lead Solution Architect</w:t>
            </w:r>
          </w:p>
        </w:tc>
        <w:tc>
          <w:tcPr>
            <w:tcW w:type="dxa" w:w="2016"/>
            <w:shd w:fill="FFFFFF"/>
            <w:tcMar>
              <w:top w:w="100" w:type="dxa"/>
              <w:bottom w:w="100" w:type="dxa"/>
              <w:left w:w="140" w:type="dxa"/>
              <w:right w:w="140" w:type="dxa"/>
            </w:tcMar>
          </w:tcPr>
          <w:p>
            <w:pPr>
              <w:jc w:val="left"/>
            </w:pPr>
            <w:r>
              <w:rPr>
                <w:rFonts w:ascii="Calibri" w:hAnsi="Calibri"/>
                <w:color w:val="1E293B"/>
                <w:sz w:val="18"/>
              </w:rPr>
              <w:t>Khaled Ibrahim Abed</w:t>
            </w:r>
          </w:p>
        </w:tc>
        <w:tc>
          <w:tcPr>
            <w:tcW w:type="dxa" w:w="2160"/>
            <w:shd w:fill="FFFFFF"/>
            <w:tcMar>
              <w:top w:w="100" w:type="dxa"/>
              <w:bottom w:w="100" w:type="dxa"/>
              <w:left w:w="140" w:type="dxa"/>
              <w:right w:w="140" w:type="dxa"/>
            </w:tcMar>
          </w:tcPr>
          <w:p>
            <w:pPr>
              <w:jc w:val="left"/>
            </w:pPr>
            <w:r>
              <w:rPr>
                <w:rFonts w:ascii="Calibri" w:hAnsi="Calibri"/>
                <w:color w:val="1E293B"/>
                <w:sz w:val="18"/>
              </w:rPr>
              <w:t>KBM Platform Engineering</w:t>
            </w:r>
          </w:p>
        </w:tc>
        <w:tc>
          <w:tcPr>
            <w:tcW w:type="dxa" w:w="1872"/>
            <w:shd w:fill="FFFFFF"/>
            <w:tcMar>
              <w:top w:w="100" w:type="dxa"/>
              <w:bottom w:w="100" w:type="dxa"/>
              <w:left w:w="140" w:type="dxa"/>
              <w:right w:w="140" w:type="dxa"/>
            </w:tcMar>
          </w:tcPr>
          <w:p>
            <w:pPr>
              <w:jc w:val="left"/>
            </w:pPr>
            <w:r>
              <w:rPr>
                <w:rFonts w:ascii="Calibri" w:hAnsi="Calibri"/>
                <w:color w:val="1E293B"/>
                <w:sz w:val="18"/>
              </w:rPr>
              <w:t>Approved (Baseline v1.0)</w:t>
            </w:r>
          </w:p>
        </w:tc>
        <w:tc>
          <w:tcPr>
            <w:tcW w:type="dxa" w:w="1152"/>
            <w:shd w:fill="FFFFFF"/>
            <w:tcMar>
              <w:top w:w="100" w:type="dxa"/>
              <w:bottom w:w="100" w:type="dxa"/>
              <w:left w:w="140" w:type="dxa"/>
              <w:right w:w="140" w:type="dxa"/>
            </w:tcMar>
          </w:tcPr>
          <w:p>
            <w:pPr>
              <w:jc w:val="left"/>
            </w:pPr>
            <w:r>
              <w:rPr>
                <w:rFonts w:ascii="Calibri" w:hAnsi="Calibri"/>
                <w:color w:val="1E293B"/>
                <w:sz w:val="18"/>
              </w:rPr>
              <w:t>August 2026</w:t>
            </w:r>
          </w:p>
        </w:tc>
      </w:tr>
      <w:tr>
        <w:tc>
          <w:tcPr>
            <w:tcW w:type="dxa" w:w="2160"/>
            <w:shd w:fill="F8FAFC"/>
            <w:tcMar>
              <w:top w:w="100" w:type="dxa"/>
              <w:bottom w:w="100" w:type="dxa"/>
              <w:left w:w="140" w:type="dxa"/>
              <w:right w:w="140" w:type="dxa"/>
            </w:tcMar>
          </w:tcPr>
          <w:p>
            <w:pPr>
              <w:jc w:val="left"/>
            </w:pPr>
            <w:r>
              <w:rPr>
                <w:rFonts w:ascii="Calibri" w:hAnsi="Calibri"/>
                <w:color w:val="1E293B"/>
                <w:sz w:val="18"/>
              </w:rPr>
              <w:t>Application Security Lead</w:t>
            </w:r>
          </w:p>
        </w:tc>
        <w:tc>
          <w:tcPr>
            <w:tcW w:type="dxa" w:w="2016"/>
            <w:shd w:fill="F8FAFC"/>
            <w:tcMar>
              <w:top w:w="100" w:type="dxa"/>
              <w:bottom w:w="100" w:type="dxa"/>
              <w:left w:w="140" w:type="dxa"/>
              <w:right w:w="140" w:type="dxa"/>
            </w:tcMar>
          </w:tcPr>
          <w:p>
            <w:pPr>
              <w:jc w:val="left"/>
            </w:pPr>
            <w:r>
              <w:rPr>
                <w:rFonts w:ascii="Calibri" w:hAnsi="Calibri"/>
                <w:color w:val="1E293B"/>
                <w:sz w:val="18"/>
              </w:rPr>
              <w:t>Security Auditor Agent</w:t>
            </w:r>
          </w:p>
        </w:tc>
        <w:tc>
          <w:tcPr>
            <w:tcW w:type="dxa" w:w="2160"/>
            <w:shd w:fill="F8FAFC"/>
            <w:tcMar>
              <w:top w:w="100" w:type="dxa"/>
              <w:bottom w:w="100" w:type="dxa"/>
              <w:left w:w="140" w:type="dxa"/>
              <w:right w:w="140" w:type="dxa"/>
            </w:tcMar>
          </w:tcPr>
          <w:p>
            <w:pPr>
              <w:jc w:val="left"/>
            </w:pPr>
            <w:r>
              <w:rPr>
                <w:rFonts w:ascii="Calibri" w:hAnsi="Calibri"/>
                <w:color w:val="1E293B"/>
                <w:sz w:val="18"/>
              </w:rPr>
              <w:t>AppSec &amp; Cryptography Group</w:t>
            </w:r>
          </w:p>
        </w:tc>
        <w:tc>
          <w:tcPr>
            <w:tcW w:type="dxa" w:w="1872"/>
            <w:shd w:fill="F8FAFC"/>
            <w:tcMar>
              <w:top w:w="100" w:type="dxa"/>
              <w:bottom w:w="100" w:type="dxa"/>
              <w:left w:w="140" w:type="dxa"/>
              <w:right w:w="140" w:type="dxa"/>
            </w:tcMar>
          </w:tcPr>
          <w:p>
            <w:pPr>
              <w:jc w:val="left"/>
            </w:pPr>
            <w:r>
              <w:rPr>
                <w:rFonts w:ascii="Calibri" w:hAnsi="Calibri"/>
                <w:color w:val="1E293B"/>
                <w:sz w:val="18"/>
              </w:rPr>
              <w:t>Approved (OWASP ASVS A)</w:t>
            </w:r>
          </w:p>
        </w:tc>
        <w:tc>
          <w:tcPr>
            <w:tcW w:type="dxa" w:w="1152"/>
            <w:shd w:fill="F8FAFC"/>
            <w:tcMar>
              <w:top w:w="100" w:type="dxa"/>
              <w:bottom w:w="100" w:type="dxa"/>
              <w:left w:w="140" w:type="dxa"/>
              <w:right w:w="140" w:type="dxa"/>
            </w:tcMar>
          </w:tcPr>
          <w:p>
            <w:pPr>
              <w:jc w:val="left"/>
            </w:pPr>
            <w:r>
              <w:rPr>
                <w:rFonts w:ascii="Calibri" w:hAnsi="Calibri"/>
                <w:color w:val="1E293B"/>
                <w:sz w:val="18"/>
              </w:rPr>
              <w:t>August 2026</w:t>
            </w:r>
          </w:p>
        </w:tc>
      </w:tr>
      <w:tr>
        <w:tc>
          <w:tcPr>
            <w:tcW w:type="dxa" w:w="2160"/>
            <w:shd w:fill="FFFFFF"/>
            <w:tcMar>
              <w:top w:w="100" w:type="dxa"/>
              <w:bottom w:w="100" w:type="dxa"/>
              <w:left w:w="140" w:type="dxa"/>
              <w:right w:w="140" w:type="dxa"/>
            </w:tcMar>
          </w:tcPr>
          <w:p>
            <w:pPr>
              <w:jc w:val="left"/>
            </w:pPr>
            <w:r>
              <w:rPr>
                <w:rFonts w:ascii="Calibri" w:hAnsi="Calibri"/>
                <w:color w:val="1E293B"/>
                <w:sz w:val="18"/>
              </w:rPr>
              <w:t>Procurement Domain Specialist</w:t>
            </w:r>
          </w:p>
        </w:tc>
        <w:tc>
          <w:tcPr>
            <w:tcW w:type="dxa" w:w="2016"/>
            <w:shd w:fill="FFFFFF"/>
            <w:tcMar>
              <w:top w:w="100" w:type="dxa"/>
              <w:bottom w:w="100" w:type="dxa"/>
              <w:left w:w="140" w:type="dxa"/>
              <w:right w:w="140" w:type="dxa"/>
            </w:tcMar>
          </w:tcPr>
          <w:p>
            <w:pPr>
              <w:jc w:val="left"/>
            </w:pPr>
            <w:r>
              <w:rPr>
                <w:rFonts w:ascii="Calibri" w:hAnsi="Calibri"/>
                <w:color w:val="1E293B"/>
                <w:sz w:val="18"/>
              </w:rPr>
              <w:t>Tender Committee Representative</w:t>
            </w:r>
          </w:p>
        </w:tc>
        <w:tc>
          <w:tcPr>
            <w:tcW w:type="dxa" w:w="2160"/>
            <w:shd w:fill="FFFFFF"/>
            <w:tcMar>
              <w:top w:w="100" w:type="dxa"/>
              <w:bottom w:w="100" w:type="dxa"/>
              <w:left w:w="140" w:type="dxa"/>
              <w:right w:w="140" w:type="dxa"/>
            </w:tcMar>
          </w:tcPr>
          <w:p>
            <w:pPr>
              <w:jc w:val="left"/>
            </w:pPr>
            <w:r>
              <w:rPr>
                <w:rFonts w:ascii="Calibri" w:hAnsi="Calibri"/>
                <w:color w:val="1E293B"/>
                <w:sz w:val="18"/>
              </w:rPr>
              <w:t>Ministry Procurement Affairs</w:t>
            </w:r>
          </w:p>
        </w:tc>
        <w:tc>
          <w:tcPr>
            <w:tcW w:type="dxa" w:w="1872"/>
            <w:shd w:fill="FFFFFF"/>
            <w:tcMar>
              <w:top w:w="100" w:type="dxa"/>
              <w:bottom w:w="100" w:type="dxa"/>
              <w:left w:w="140" w:type="dxa"/>
              <w:right w:w="140" w:type="dxa"/>
            </w:tcMar>
          </w:tcPr>
          <w:p>
            <w:pPr>
              <w:jc w:val="left"/>
            </w:pPr>
            <w:r>
              <w:rPr>
                <w:rFonts w:ascii="Calibri" w:hAnsi="Calibri"/>
                <w:color w:val="1E293B"/>
                <w:sz w:val="18"/>
              </w:rPr>
              <w:t>Ratified (Law 49/2016 Compliant)</w:t>
            </w:r>
          </w:p>
        </w:tc>
        <w:tc>
          <w:tcPr>
            <w:tcW w:type="dxa" w:w="1152"/>
            <w:shd w:fill="FFFFFF"/>
            <w:tcMar>
              <w:top w:w="100" w:type="dxa"/>
              <w:bottom w:w="100" w:type="dxa"/>
              <w:left w:w="140" w:type="dxa"/>
              <w:right w:w="140" w:type="dxa"/>
            </w:tcMar>
          </w:tcPr>
          <w:p>
            <w:pPr>
              <w:jc w:val="left"/>
            </w:pPr>
            <w:r>
              <w:rPr>
                <w:rFonts w:ascii="Calibri" w:hAnsi="Calibri"/>
                <w:color w:val="1E293B"/>
                <w:sz w:val="18"/>
              </w:rPr>
              <w:t>August 2026</w:t>
            </w:r>
          </w:p>
        </w:tc>
      </w:tr>
      <w:tr>
        <w:tc>
          <w:tcPr>
            <w:tcW w:type="dxa" w:w="2160"/>
            <w:shd w:fill="F8FAFC"/>
            <w:tcMar>
              <w:top w:w="100" w:type="dxa"/>
              <w:bottom w:w="100" w:type="dxa"/>
              <w:left w:w="140" w:type="dxa"/>
              <w:right w:w="140" w:type="dxa"/>
            </w:tcMar>
          </w:tcPr>
          <w:p>
            <w:pPr>
              <w:jc w:val="left"/>
            </w:pPr>
            <w:r>
              <w:rPr>
                <w:rFonts w:ascii="Calibri" w:hAnsi="Calibri"/>
                <w:color w:val="1E293B"/>
                <w:sz w:val="18"/>
              </w:rPr>
              <w:t>Cloud DevOps Engineer</w:t>
            </w:r>
          </w:p>
        </w:tc>
        <w:tc>
          <w:tcPr>
            <w:tcW w:type="dxa" w:w="2016"/>
            <w:shd w:fill="F8FAFC"/>
            <w:tcMar>
              <w:top w:w="100" w:type="dxa"/>
              <w:bottom w:w="100" w:type="dxa"/>
              <w:left w:w="140" w:type="dxa"/>
              <w:right w:w="140" w:type="dxa"/>
            </w:tcMar>
          </w:tcPr>
          <w:p>
            <w:pPr>
              <w:jc w:val="left"/>
            </w:pPr>
            <w:r>
              <w:rPr>
                <w:rFonts w:ascii="Calibri" w:hAnsi="Calibri"/>
                <w:color w:val="1E293B"/>
                <w:sz w:val="18"/>
              </w:rPr>
              <w:t>Azure Infrastructure Team</w:t>
            </w:r>
          </w:p>
        </w:tc>
        <w:tc>
          <w:tcPr>
            <w:tcW w:type="dxa" w:w="2160"/>
            <w:shd w:fill="F8FAFC"/>
            <w:tcMar>
              <w:top w:w="100" w:type="dxa"/>
              <w:bottom w:w="100" w:type="dxa"/>
              <w:left w:w="140" w:type="dxa"/>
              <w:right w:w="140" w:type="dxa"/>
            </w:tcMar>
          </w:tcPr>
          <w:p>
            <w:pPr>
              <w:jc w:val="left"/>
            </w:pPr>
            <w:r>
              <w:rPr>
                <w:rFonts w:ascii="Calibri" w:hAnsi="Calibri"/>
                <w:color w:val="1E293B"/>
                <w:sz w:val="18"/>
              </w:rPr>
              <w:t>Cloud Operations &amp; FinOps</w:t>
            </w:r>
          </w:p>
        </w:tc>
        <w:tc>
          <w:tcPr>
            <w:tcW w:type="dxa" w:w="1872"/>
            <w:shd w:fill="F8FAFC"/>
            <w:tcMar>
              <w:top w:w="100" w:type="dxa"/>
              <w:bottom w:w="100" w:type="dxa"/>
              <w:left w:w="140" w:type="dxa"/>
              <w:right w:w="140" w:type="dxa"/>
            </w:tcMar>
          </w:tcPr>
          <w:p>
            <w:pPr>
              <w:jc w:val="left"/>
            </w:pPr>
            <w:r>
              <w:rPr>
                <w:rFonts w:ascii="Calibri" w:hAnsi="Calibri"/>
                <w:color w:val="1E293B"/>
                <w:sz w:val="18"/>
              </w:rPr>
              <w:t>Approved (Azure Free Tier Validated)</w:t>
            </w:r>
          </w:p>
        </w:tc>
        <w:tc>
          <w:tcPr>
            <w:tcW w:type="dxa" w:w="1152"/>
            <w:shd w:fill="F8FAFC"/>
            <w:tcMar>
              <w:top w:w="100" w:type="dxa"/>
              <w:bottom w:w="100" w:type="dxa"/>
              <w:left w:w="140" w:type="dxa"/>
              <w:right w:w="140" w:type="dxa"/>
            </w:tcMar>
          </w:tcPr>
          <w:p>
            <w:pPr>
              <w:jc w:val="left"/>
            </w:pPr>
            <w:r>
              <w:rPr>
                <w:rFonts w:ascii="Calibri" w:hAnsi="Calibri"/>
                <w:color w:val="1E293B"/>
                <w:sz w:val="18"/>
              </w:rPr>
              <w:t>August 2026</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