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№3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16510</wp:posOffset>
                </wp:positionV>
                <wp:extent cx="5123815" cy="889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60" cy="18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3pt" to="468.45pt,1.4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9525</wp:posOffset>
                </wp:positionV>
                <wp:extent cx="4661535" cy="825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2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75pt" to="468.45pt,1.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класс-контейнер первого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уровня, содержащий одну фигуру (колонка фигура 1), согласно вариантам задания. Классы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Класс-контейнер должен содержать объекты используя std::shared_ptr&lt;...&gt;.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Стандартные контейнеры std;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Шаблоны (template);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Объекты «по-значению».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Умные указатели могут очень сильно упростить работу с памятью предоставляя свои возможности по автоматическому удалению объектов.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auto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et_tvector std::shared_ptr&lt;Figure&gt;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/>
        <w:t>TVector::TVector()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obj.vals[i].get()-&gt;Area();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/>
        <w:t>TVector::~TVector()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/>
      </w:r>
    </w:p>
    <w:p>
      <w:pPr>
        <w:pStyle w:val="Style21"/>
        <w:spacing w:before="0" w:after="0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LibreOffice/6.4.4.2$Linux_X86_64 LibreOffice_project/40$Build-2</Application>
  <Pages>15</Pages>
  <Words>1056</Words>
  <Characters>6754</Characters>
  <CharactersWithSpaces>10149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2021-11-02T12:32:09Z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