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CFC0AC" w14:textId="0E753849" w:rsidR="00231B7B" w:rsidRDefault="00231B7B" w:rsidP="003B7C38">
      <w:pPr>
        <w:rPr>
          <w:rFonts w:ascii="Noto Sans KR" w:hAnsi="Noto Sans KR"/>
          <w:b/>
          <w:bCs/>
          <w:color w:val="222222"/>
          <w:shd w:val="clear" w:color="auto" w:fill="F4F5F7"/>
        </w:rPr>
      </w:pPr>
      <w:r w:rsidRPr="00231B7B">
        <w:rPr>
          <w:rFonts w:ascii="Noto Sans KR" w:hAnsi="Noto Sans KR" w:hint="eastAsia"/>
          <w:b/>
          <w:bCs/>
          <w:color w:val="222222"/>
          <w:shd w:val="clear" w:color="auto" w:fill="F4F5F7"/>
        </w:rPr>
        <w:t>Q</w:t>
      </w:r>
      <w:r>
        <w:rPr>
          <w:rFonts w:ascii="Noto Sans KR" w:hAnsi="Noto Sans KR"/>
          <w:b/>
          <w:bCs/>
          <w:color w:val="222222"/>
          <w:shd w:val="clear" w:color="auto" w:fill="F4F5F7"/>
        </w:rPr>
        <w:t>:</w:t>
      </w:r>
      <w:r w:rsidRPr="00231B7B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231B7B">
        <w:rPr>
          <w:rFonts w:ascii="Noto Sans KR" w:hAnsi="Noto Sans KR"/>
          <w:b/>
          <w:bCs/>
          <w:color w:val="222222"/>
          <w:shd w:val="clear" w:color="auto" w:fill="F4F5F7"/>
        </w:rPr>
        <w:t>세금</w:t>
      </w:r>
      <w:r w:rsidRPr="00231B7B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231B7B">
        <w:rPr>
          <w:rFonts w:ascii="Noto Sans KR" w:hAnsi="Noto Sans KR"/>
          <w:b/>
          <w:bCs/>
          <w:color w:val="222222"/>
          <w:shd w:val="clear" w:color="auto" w:fill="F4F5F7"/>
        </w:rPr>
        <w:t>부담이</w:t>
      </w:r>
      <w:r w:rsidRPr="00231B7B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231B7B">
        <w:rPr>
          <w:rFonts w:ascii="Noto Sans KR" w:hAnsi="Noto Sans KR"/>
          <w:b/>
          <w:bCs/>
          <w:color w:val="222222"/>
          <w:shd w:val="clear" w:color="auto" w:fill="F4F5F7"/>
        </w:rPr>
        <w:t>소비자와</w:t>
      </w:r>
      <w:r w:rsidRPr="00231B7B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231B7B">
        <w:rPr>
          <w:rFonts w:ascii="Noto Sans KR" w:hAnsi="Noto Sans KR"/>
          <w:b/>
          <w:bCs/>
          <w:color w:val="222222"/>
          <w:shd w:val="clear" w:color="auto" w:fill="F4F5F7"/>
        </w:rPr>
        <w:t>판매자</w:t>
      </w:r>
      <w:r w:rsidRPr="00231B7B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231B7B">
        <w:rPr>
          <w:rFonts w:ascii="Noto Sans KR" w:hAnsi="Noto Sans KR"/>
          <w:b/>
          <w:bCs/>
          <w:color w:val="222222"/>
          <w:shd w:val="clear" w:color="auto" w:fill="F4F5F7"/>
        </w:rPr>
        <w:t>사이에</w:t>
      </w:r>
      <w:r w:rsidRPr="00231B7B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231B7B">
        <w:rPr>
          <w:rFonts w:ascii="Noto Sans KR" w:hAnsi="Noto Sans KR"/>
          <w:b/>
          <w:bCs/>
          <w:color w:val="222222"/>
          <w:shd w:val="clear" w:color="auto" w:fill="F4F5F7"/>
        </w:rPr>
        <w:t>어떻게</w:t>
      </w:r>
      <w:r w:rsidRPr="00231B7B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231B7B">
        <w:rPr>
          <w:rFonts w:ascii="Noto Sans KR" w:hAnsi="Noto Sans KR"/>
          <w:b/>
          <w:bCs/>
          <w:color w:val="222222"/>
          <w:shd w:val="clear" w:color="auto" w:fill="F4F5F7"/>
        </w:rPr>
        <w:t>배분될지</w:t>
      </w:r>
      <w:r w:rsidRPr="00231B7B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231B7B">
        <w:rPr>
          <w:rFonts w:ascii="Noto Sans KR" w:hAnsi="Noto Sans KR"/>
          <w:b/>
          <w:bCs/>
          <w:color w:val="222222"/>
          <w:shd w:val="clear" w:color="auto" w:fill="F4F5F7"/>
        </w:rPr>
        <w:t>결정하는</w:t>
      </w:r>
      <w:r w:rsidRPr="00231B7B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231B7B">
        <w:rPr>
          <w:rFonts w:ascii="Noto Sans KR" w:hAnsi="Noto Sans KR"/>
          <w:b/>
          <w:bCs/>
          <w:color w:val="222222"/>
          <w:shd w:val="clear" w:color="auto" w:fill="F4F5F7"/>
        </w:rPr>
        <w:t>변수는</w:t>
      </w:r>
      <w:r w:rsidRPr="00231B7B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231B7B">
        <w:rPr>
          <w:rFonts w:ascii="Noto Sans KR" w:hAnsi="Noto Sans KR"/>
          <w:b/>
          <w:bCs/>
          <w:color w:val="222222"/>
          <w:shd w:val="clear" w:color="auto" w:fill="F4F5F7"/>
        </w:rPr>
        <w:t>무엇인가</w:t>
      </w:r>
      <w:r w:rsidRPr="00231B7B">
        <w:rPr>
          <w:rFonts w:ascii="Noto Sans KR" w:hAnsi="Noto Sans KR"/>
          <w:b/>
          <w:bCs/>
          <w:color w:val="222222"/>
          <w:shd w:val="clear" w:color="auto" w:fill="F4F5F7"/>
        </w:rPr>
        <w:t xml:space="preserve">? </w:t>
      </w:r>
      <w:r w:rsidRPr="00231B7B">
        <w:rPr>
          <w:rFonts w:ascii="Noto Sans KR" w:hAnsi="Noto Sans KR"/>
          <w:b/>
          <w:bCs/>
          <w:color w:val="222222"/>
          <w:shd w:val="clear" w:color="auto" w:fill="F4F5F7"/>
        </w:rPr>
        <w:t>그</w:t>
      </w:r>
      <w:r w:rsidRPr="00231B7B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231B7B">
        <w:rPr>
          <w:rFonts w:ascii="Noto Sans KR" w:hAnsi="Noto Sans KR"/>
          <w:b/>
          <w:bCs/>
          <w:color w:val="222222"/>
          <w:shd w:val="clear" w:color="auto" w:fill="F4F5F7"/>
        </w:rPr>
        <w:t>이유를</w:t>
      </w:r>
      <w:r w:rsidRPr="00231B7B">
        <w:rPr>
          <w:rFonts w:ascii="Noto Sans KR" w:hAnsi="Noto Sans KR"/>
          <w:b/>
          <w:bCs/>
          <w:color w:val="222222"/>
          <w:shd w:val="clear" w:color="auto" w:fill="F4F5F7"/>
        </w:rPr>
        <w:t xml:space="preserve"> </w:t>
      </w:r>
      <w:r w:rsidRPr="00231B7B">
        <w:rPr>
          <w:rFonts w:ascii="Noto Sans KR" w:hAnsi="Noto Sans KR"/>
          <w:b/>
          <w:bCs/>
          <w:color w:val="222222"/>
          <w:shd w:val="clear" w:color="auto" w:fill="F4F5F7"/>
        </w:rPr>
        <w:t>서술하시오</w:t>
      </w:r>
      <w:r w:rsidRPr="00231B7B">
        <w:rPr>
          <w:rFonts w:ascii="Noto Sans KR" w:hAnsi="Noto Sans KR"/>
          <w:b/>
          <w:bCs/>
          <w:color w:val="222222"/>
          <w:shd w:val="clear" w:color="auto" w:fill="F4F5F7"/>
        </w:rPr>
        <w:t>.</w:t>
      </w:r>
    </w:p>
    <w:p w14:paraId="681C842F" w14:textId="77777777" w:rsidR="00231B7B" w:rsidRPr="00231B7B" w:rsidRDefault="00231B7B" w:rsidP="003B7C38">
      <w:pPr>
        <w:rPr>
          <w:b/>
          <w:bCs/>
        </w:rPr>
      </w:pPr>
    </w:p>
    <w:p w14:paraId="47C7C661" w14:textId="1F13912F" w:rsidR="003B7C38" w:rsidRDefault="00231B7B" w:rsidP="00231B7B">
      <w:r w:rsidRPr="00231B7B">
        <w:rPr>
          <w:rFonts w:hint="eastAsia"/>
          <w:b/>
          <w:bCs/>
        </w:rPr>
        <w:t>A</w:t>
      </w:r>
      <w:r w:rsidRPr="00231B7B">
        <w:rPr>
          <w:b/>
          <w:bCs/>
        </w:rPr>
        <w:t>:</w:t>
      </w:r>
      <w:r>
        <w:rPr>
          <w:b/>
          <w:bCs/>
        </w:rPr>
        <w:t xml:space="preserve"> </w:t>
      </w:r>
      <w:commentRangeStart w:id="0"/>
      <w:r w:rsidR="003B7C38">
        <w:rPr>
          <w:rFonts w:hint="eastAsia"/>
        </w:rPr>
        <w:t>맨큐는</w:t>
      </w:r>
      <w:r w:rsidR="003B7C38">
        <w:t xml:space="preserve"> 세금 부담의 배분이 소비자와 판매자 사이에서 가격 탄력성의 차이에 의해 형성된다고 주장합니다. 상품의 가격 탄력성은 소비자 및 판매자의 반응성을 나타내는데, 이는 가격 변화에 대한 수요 및 공급의 변화 정도를 의미합니다.</w:t>
      </w:r>
    </w:p>
    <w:p w14:paraId="16FF867A" w14:textId="77777777" w:rsidR="003B7C38" w:rsidRDefault="003B7C38" w:rsidP="006F7D78">
      <w:pPr>
        <w:ind w:firstLineChars="100" w:firstLine="200"/>
      </w:pPr>
      <w:r>
        <w:rPr>
          <w:rFonts w:hint="eastAsia"/>
        </w:rPr>
        <w:t>만약</w:t>
      </w:r>
      <w:r>
        <w:t xml:space="preserve"> 상품의 가격 탄력성이 더 높은 경우, 소비자는 가격 변화에 민감하게 반응하여 수요의 변화가 크게 일어날 것입니다. 이 경우, 세금 부담이 판매자에게 더 크게 돌아가게 됩니다. 이는 판매자가 가격을 인상하려 할 때 수요의 감소로 인해 판매량이 크게 감소하는 결과로 이어질 수 있기 때문입니다.</w:t>
      </w:r>
    </w:p>
    <w:p w14:paraId="3DAFC39C" w14:textId="1FF1B1EE" w:rsidR="003B7C38" w:rsidRDefault="003B7C38" w:rsidP="006F7D78">
      <w:pPr>
        <w:ind w:firstLineChars="100" w:firstLine="200"/>
        <w:rPr>
          <w:rFonts w:hint="eastAsia"/>
        </w:rPr>
      </w:pPr>
      <w:r>
        <w:rPr>
          <w:rFonts w:hint="eastAsia"/>
        </w:rPr>
        <w:t>반대로</w:t>
      </w:r>
      <w:r>
        <w:t>, 상품의 가격 탄력성이 낮은 경우, 소비자는 가격 변화에 상대적으로 둔감하게 반응하므로, 세금 부담이 주로 소비자에게 전가될 가능성이 높아집니다. 이는 판매자가 가격을 인상하더라도 수요</w:t>
      </w:r>
      <w:r>
        <w:rPr>
          <w:rFonts w:hint="eastAsia"/>
        </w:rPr>
        <w:t>에</w:t>
      </w:r>
      <w:r>
        <w:t xml:space="preserve"> 큰 변화가 없어서 판매량이 크게 감소하지 않는 결과</w:t>
      </w:r>
      <w:r>
        <w:rPr>
          <w:rFonts w:hint="eastAsia"/>
        </w:rPr>
        <w:t>가 발생할 가능성이 높기 때문입니다.</w:t>
      </w:r>
    </w:p>
    <w:p w14:paraId="5E8F9A7B" w14:textId="46264516" w:rsidR="00231B7B" w:rsidRDefault="003B7C38" w:rsidP="006F7D78">
      <w:pPr>
        <w:ind w:firstLineChars="100" w:firstLine="200"/>
        <w:rPr>
          <w:rFonts w:hint="eastAsia"/>
        </w:rPr>
      </w:pPr>
      <w:r>
        <w:rPr>
          <w:rFonts w:hint="eastAsia"/>
        </w:rPr>
        <w:t>따라서</w:t>
      </w:r>
      <w:r>
        <w:t>, 세금 부담의 배분은 상품의 가격 탄력성에 의해 결정되며, 소비자와 판매자 사이에서의 가격 탄력성 차이에 따라 달라질 수 있습니다.</w:t>
      </w:r>
      <w:commentRangeEnd w:id="0"/>
      <w:r>
        <w:rPr>
          <w:rStyle w:val="CommentReference"/>
        </w:rPr>
        <w:commentReference w:id="0"/>
      </w:r>
      <w:r>
        <w:rPr>
          <w:rStyle w:val="FootnoteReference"/>
        </w:rPr>
        <w:footnoteReference w:id="1"/>
      </w:r>
    </w:p>
    <w:p w14:paraId="41349A7E" w14:textId="77777777" w:rsidR="003B7C38" w:rsidRDefault="003B7C38" w:rsidP="003B7C38"/>
    <w:p w14:paraId="18583E20" w14:textId="13BA49C9" w:rsidR="003B7C38" w:rsidRDefault="003B7C38" w:rsidP="00231B7B">
      <w:pPr>
        <w:ind w:firstLineChars="50" w:firstLine="100"/>
        <w:rPr>
          <w:rFonts w:hint="eastAsia"/>
        </w:rPr>
      </w:pPr>
      <w:commentRangeStart w:id="1"/>
      <w:r>
        <w:rPr>
          <w:rFonts w:hint="eastAsia"/>
        </w:rPr>
        <w:t>이외에도 판매자의 시장 지배력이 강해서 가격결정</w:t>
      </w:r>
      <w:r w:rsidR="00231B7B">
        <w:rPr>
          <w:rFonts w:hint="eastAsia"/>
        </w:rPr>
        <w:t>권이 판매자에게 있는 경우,</w:t>
      </w:r>
      <w:r w:rsidR="00231B7B">
        <w:t xml:space="preserve"> </w:t>
      </w:r>
      <w:r>
        <w:rPr>
          <w:rFonts w:hint="eastAsia"/>
        </w:rPr>
        <w:t>세금 부담이 소비자에게 전가될 수 있습니다.</w:t>
      </w:r>
    </w:p>
    <w:p w14:paraId="65F2C17E" w14:textId="64803BB4" w:rsidR="003B7C38" w:rsidRDefault="003B7C38" w:rsidP="00231B7B">
      <w:pPr>
        <w:ind w:firstLineChars="100" w:firstLine="200"/>
      </w:pPr>
      <w:r>
        <w:rPr>
          <w:rFonts w:hint="eastAsia"/>
        </w:rPr>
        <w:t>또 세금 정책을 통해 특정 목적을 달성코자 하는 정부의 의도가 있을 경우,</w:t>
      </w:r>
      <w:r>
        <w:t xml:space="preserve"> </w:t>
      </w:r>
      <w:r>
        <w:rPr>
          <w:rFonts w:hint="eastAsia"/>
        </w:rPr>
        <w:t>예를 들면 세금 부담을 통해 소비를 저하시키거나 특정 산업을 육성하려는 경우,</w:t>
      </w:r>
      <w:r>
        <w:t xml:space="preserve"> </w:t>
      </w:r>
      <w:r>
        <w:rPr>
          <w:rFonts w:hint="eastAsia"/>
        </w:rPr>
        <w:t>이런 정책의 방향에 따라 세금의 전가 대상이 달라질 수</w:t>
      </w:r>
      <w:r w:rsidR="00231B7B">
        <w:rPr>
          <w:rFonts w:hint="eastAsia"/>
        </w:rPr>
        <w:t>도</w:t>
      </w:r>
      <w:r>
        <w:rPr>
          <w:rFonts w:hint="eastAsia"/>
        </w:rPr>
        <w:t xml:space="preserve"> 있습니다.</w:t>
      </w:r>
      <w:r>
        <w:rPr>
          <w:rStyle w:val="FootnoteReference"/>
        </w:rPr>
        <w:footnoteReference w:id="2"/>
      </w:r>
      <w:commentRangeEnd w:id="1"/>
      <w:r w:rsidR="00231B7B">
        <w:rPr>
          <w:rStyle w:val="CommentReference"/>
        </w:rPr>
        <w:commentReference w:id="1"/>
      </w:r>
    </w:p>
    <w:p w14:paraId="11001CE6" w14:textId="77777777" w:rsidR="006F7D78" w:rsidRDefault="006F7D78" w:rsidP="00231B7B">
      <w:pPr>
        <w:ind w:firstLineChars="100" w:firstLine="200"/>
      </w:pPr>
    </w:p>
    <w:p w14:paraId="7D73612A" w14:textId="2E2795EE" w:rsidR="00231B7B" w:rsidRPr="003B7C38" w:rsidRDefault="00231B7B" w:rsidP="003B7C38">
      <w:pPr>
        <w:rPr>
          <w:rFonts w:hint="eastAsia"/>
        </w:rPr>
      </w:pPr>
      <w:r>
        <w:t xml:space="preserve"> </w:t>
      </w:r>
      <w:r>
        <w:rPr>
          <w:rFonts w:hint="eastAsia"/>
        </w:rPr>
        <w:t>위에서 살펴본 것과 같이,</w:t>
      </w:r>
      <w:r>
        <w:t xml:space="preserve"> </w:t>
      </w:r>
      <w:r>
        <w:rPr>
          <w:rFonts w:hint="eastAsia"/>
        </w:rPr>
        <w:t>세금 부담이 소비자와 판매자 사이에 어떻게 배분될지 결정하는 변수는 상품의 가격 탄력성,</w:t>
      </w:r>
      <w:r>
        <w:t xml:space="preserve"> </w:t>
      </w:r>
      <w:r>
        <w:rPr>
          <w:rFonts w:hint="eastAsia"/>
        </w:rPr>
        <w:t>판매자의 시장 지배력,</w:t>
      </w:r>
      <w:r>
        <w:t xml:space="preserve"> </w:t>
      </w:r>
      <w:r>
        <w:rPr>
          <w:rFonts w:hint="eastAsia"/>
        </w:rPr>
        <w:t xml:space="preserve">정부의 의도 등이 있으며 전통적으로 중요한 요인으로 꼽히는 변수는 가격 탄력성이라고 할 수 </w:t>
      </w:r>
      <w:r w:rsidR="006F7D78">
        <w:rPr>
          <w:rFonts w:hint="eastAsia"/>
        </w:rPr>
        <w:t>있겠습</w:t>
      </w:r>
      <w:r>
        <w:rPr>
          <w:rFonts w:hint="eastAsia"/>
        </w:rPr>
        <w:t>니다.</w:t>
      </w:r>
    </w:p>
    <w:sectPr w:rsidR="00231B7B" w:rsidRPr="003B7C3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Park Yangha" w:date="2023-06-11T21:02:00Z" w:initials="PY">
    <w:p w14:paraId="4E0E9F8A" w14:textId="77777777" w:rsidR="003B7C38" w:rsidRDefault="003B7C38" w:rsidP="00F42B84">
      <w:pPr>
        <w:pStyle w:val="CommentText"/>
      </w:pPr>
      <w:r>
        <w:rPr>
          <w:rStyle w:val="CommentReference"/>
        </w:rPr>
        <w:annotationRef/>
      </w:r>
      <w:r>
        <w:t>맨큐의 경제학 제 8본</w:t>
      </w:r>
    </w:p>
  </w:comment>
  <w:comment w:id="1" w:author="Park Yangha" w:date="2023-06-11T21:14:00Z" w:initials="PY">
    <w:p w14:paraId="360E553A" w14:textId="77777777" w:rsidR="00231B7B" w:rsidRDefault="00231B7B" w:rsidP="001526D6">
      <w:pPr>
        <w:pStyle w:val="CommentText"/>
      </w:pPr>
      <w:r>
        <w:rPr>
          <w:rStyle w:val="CommentReference"/>
        </w:rPr>
        <w:annotationRef/>
      </w:r>
      <w:r>
        <w:t>Hal R. Varian 미시경제학 제9본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E0E9F8A" w15:done="0"/>
  <w15:commentEx w15:paraId="360E553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30B4EE" w16cex:dateUtc="2023-06-11T12:02:00Z"/>
  <w16cex:commentExtensible w16cex:durableId="2830B79A" w16cex:dateUtc="2023-06-11T12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E0E9F8A" w16cid:durableId="2830B4EE"/>
  <w16cid:commentId w16cid:paraId="360E553A" w16cid:durableId="2830B79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FD7544" w14:textId="77777777" w:rsidR="00A51472" w:rsidRDefault="00A51472" w:rsidP="003B7C38">
      <w:pPr>
        <w:spacing w:after="0" w:line="240" w:lineRule="auto"/>
      </w:pPr>
      <w:r>
        <w:separator/>
      </w:r>
    </w:p>
  </w:endnote>
  <w:endnote w:type="continuationSeparator" w:id="0">
    <w:p w14:paraId="17D55BF3" w14:textId="77777777" w:rsidR="00A51472" w:rsidRDefault="00A51472" w:rsidP="003B7C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272BBF" w14:textId="77777777" w:rsidR="00A51472" w:rsidRDefault="00A51472" w:rsidP="003B7C38">
      <w:pPr>
        <w:spacing w:after="0" w:line="240" w:lineRule="auto"/>
      </w:pPr>
      <w:r>
        <w:separator/>
      </w:r>
    </w:p>
  </w:footnote>
  <w:footnote w:type="continuationSeparator" w:id="0">
    <w:p w14:paraId="5A10E4F2" w14:textId="77777777" w:rsidR="00A51472" w:rsidRDefault="00A51472" w:rsidP="003B7C38">
      <w:pPr>
        <w:spacing w:after="0" w:line="240" w:lineRule="auto"/>
      </w:pPr>
      <w:r>
        <w:continuationSeparator/>
      </w:r>
    </w:p>
  </w:footnote>
  <w:footnote w:id="1">
    <w:p w14:paraId="06007635" w14:textId="1B4AE165" w:rsidR="003B7C38" w:rsidRPr="00231B7B" w:rsidRDefault="003B7C38" w:rsidP="00231B7B">
      <w:pPr>
        <w:rPr>
          <w:rFonts w:asciiTheme="minorEastAsia" w:hAnsiTheme="minorEastAsia" w:hint="eastAsia"/>
          <w:color w:val="000000" w:themeColor="text1"/>
          <w:sz w:val="16"/>
          <w:szCs w:val="16"/>
        </w:rPr>
      </w:pPr>
      <w:r w:rsidRPr="00231B7B">
        <w:rPr>
          <w:rStyle w:val="FootnoteReference"/>
          <w:rFonts w:asciiTheme="minorEastAsia" w:hAnsiTheme="minorEastAsia"/>
          <w:color w:val="000000" w:themeColor="text1"/>
          <w:sz w:val="16"/>
          <w:szCs w:val="16"/>
        </w:rPr>
        <w:footnoteRef/>
      </w:r>
      <w:r w:rsidRPr="00231B7B">
        <w:rPr>
          <w:rFonts w:asciiTheme="minorEastAsia" w:hAnsiTheme="minorEastAsia"/>
          <w:color w:val="000000" w:themeColor="text1"/>
          <w:sz w:val="16"/>
          <w:szCs w:val="16"/>
        </w:rPr>
        <w:t xml:space="preserve"> </w:t>
      </w:r>
      <w:r w:rsidRPr="00231B7B">
        <w:rPr>
          <w:rFonts w:asciiTheme="minorEastAsia" w:hAnsiTheme="minorEastAsia"/>
          <w:color w:val="000000" w:themeColor="text1"/>
          <w:sz w:val="16"/>
          <w:szCs w:val="16"/>
        </w:rPr>
        <w:t>N. Gregory Mankiw, "Principles of Economics", 8th edition, Cengage Learning, 2017. (Chapter 6: Supply, Demand, and Government Policies)</w:t>
      </w:r>
    </w:p>
  </w:footnote>
  <w:footnote w:id="2">
    <w:p w14:paraId="4F54A7D5" w14:textId="4AB2C35F" w:rsidR="003B7C38" w:rsidRDefault="003B7C38">
      <w:pPr>
        <w:pStyle w:val="FootnoteText"/>
        <w:rPr>
          <w:rFonts w:hint="eastAsia"/>
        </w:rPr>
      </w:pPr>
      <w:r w:rsidRPr="00231B7B">
        <w:rPr>
          <w:rStyle w:val="FootnoteReference"/>
          <w:rFonts w:asciiTheme="minorEastAsia" w:hAnsiTheme="minorEastAsia"/>
          <w:color w:val="000000" w:themeColor="text1"/>
          <w:sz w:val="16"/>
          <w:szCs w:val="16"/>
        </w:rPr>
        <w:footnoteRef/>
      </w:r>
      <w:r w:rsidRPr="00231B7B">
        <w:rPr>
          <w:rFonts w:asciiTheme="minorEastAsia" w:hAnsiTheme="minorEastAsia"/>
          <w:color w:val="000000" w:themeColor="text1"/>
          <w:sz w:val="16"/>
          <w:szCs w:val="16"/>
        </w:rPr>
        <w:t xml:space="preserve"> </w:t>
      </w:r>
      <w:r w:rsidR="00231B7B" w:rsidRPr="00231B7B">
        <w:rPr>
          <w:rFonts w:asciiTheme="minorEastAsia" w:hAnsiTheme="minorEastAsia" w:cs="Segoe UI"/>
          <w:color w:val="000000" w:themeColor="text1"/>
          <w:sz w:val="16"/>
          <w:szCs w:val="16"/>
          <w:shd w:val="clear" w:color="auto" w:fill="F7F7F8"/>
        </w:rPr>
        <w:t>Hal R. Varian</w:t>
      </w:r>
      <w:r w:rsidR="00231B7B" w:rsidRPr="00231B7B">
        <w:rPr>
          <w:rFonts w:asciiTheme="minorEastAsia" w:hAnsiTheme="minorEastAsia" w:cs="Segoe UI"/>
          <w:color w:val="000000" w:themeColor="text1"/>
          <w:sz w:val="16"/>
          <w:szCs w:val="16"/>
          <w:shd w:val="clear" w:color="auto" w:fill="F7F7F8"/>
        </w:rPr>
        <w:t>,</w:t>
      </w:r>
      <w:r w:rsidR="00231B7B" w:rsidRPr="00231B7B">
        <w:rPr>
          <w:rFonts w:asciiTheme="minorEastAsia" w:hAnsiTheme="minorEastAsia" w:cs="Segoe UI"/>
          <w:color w:val="000000" w:themeColor="text1"/>
          <w:sz w:val="16"/>
          <w:szCs w:val="16"/>
          <w:shd w:val="clear" w:color="auto" w:fill="F7F7F8"/>
        </w:rPr>
        <w:t xml:space="preserve"> "Intermediate Microeconomics: A Modern Approach"</w:t>
      </w:r>
      <w:r w:rsidR="00231B7B" w:rsidRPr="00231B7B">
        <w:rPr>
          <w:rFonts w:asciiTheme="minorEastAsia" w:hAnsiTheme="minorEastAsia" w:cs="Segoe UI"/>
          <w:color w:val="000000" w:themeColor="text1"/>
          <w:sz w:val="16"/>
          <w:szCs w:val="16"/>
          <w:shd w:val="clear" w:color="auto" w:fill="F7F7F8"/>
        </w:rPr>
        <w:t>,</w:t>
      </w:r>
      <w:r w:rsidR="00231B7B" w:rsidRPr="00231B7B">
        <w:rPr>
          <w:rFonts w:asciiTheme="minorEastAsia" w:hAnsiTheme="minorEastAsia" w:cs="Segoe UI"/>
          <w:color w:val="000000" w:themeColor="text1"/>
          <w:sz w:val="16"/>
          <w:szCs w:val="16"/>
          <w:shd w:val="clear" w:color="auto" w:fill="F7F7F8"/>
        </w:rPr>
        <w:t xml:space="preserve"> 9th edition</w:t>
      </w:r>
      <w:r w:rsidR="00231B7B" w:rsidRPr="00231B7B">
        <w:rPr>
          <w:rFonts w:asciiTheme="minorEastAsia" w:hAnsiTheme="minorEastAsia" w:cs="Segoe UI"/>
          <w:color w:val="000000" w:themeColor="text1"/>
          <w:sz w:val="16"/>
          <w:szCs w:val="16"/>
          <w:shd w:val="clear" w:color="auto" w:fill="F7F7F8"/>
        </w:rPr>
        <w:t xml:space="preserve">, </w:t>
      </w:r>
      <w:r w:rsidR="00231B7B" w:rsidRPr="00231B7B">
        <w:rPr>
          <w:rFonts w:asciiTheme="minorEastAsia" w:hAnsiTheme="minorEastAsia" w:cs="Arial"/>
          <w:color w:val="000000" w:themeColor="text1"/>
          <w:sz w:val="16"/>
          <w:szCs w:val="16"/>
          <w:shd w:val="clear" w:color="auto" w:fill="FFFFFF"/>
        </w:rPr>
        <w:t>W. W. Norton &amp; Company</w:t>
      </w:r>
      <w:r w:rsidR="00231B7B" w:rsidRPr="00231B7B">
        <w:rPr>
          <w:rFonts w:asciiTheme="minorEastAsia" w:hAnsiTheme="minorEastAsia" w:cs="Segoe UI"/>
          <w:color w:val="000000" w:themeColor="text1"/>
          <w:sz w:val="16"/>
          <w:szCs w:val="16"/>
          <w:shd w:val="clear" w:color="auto" w:fill="F7F7F8"/>
        </w:rPr>
        <w:t xml:space="preserve"> , 2014. (</w:t>
      </w:r>
      <w:r w:rsidR="00231B7B" w:rsidRPr="00231B7B">
        <w:rPr>
          <w:rFonts w:asciiTheme="minorEastAsia" w:hAnsiTheme="minorEastAsia" w:cs="Segoe UI"/>
          <w:color w:val="000000" w:themeColor="text1"/>
          <w:sz w:val="16"/>
          <w:szCs w:val="16"/>
          <w:shd w:val="clear" w:color="auto" w:fill="F7F7F8"/>
        </w:rPr>
        <w:t>Chapter 26</w:t>
      </w:r>
      <w:r w:rsidR="00231B7B" w:rsidRPr="00231B7B">
        <w:rPr>
          <w:rFonts w:asciiTheme="minorEastAsia" w:hAnsiTheme="minorEastAsia" w:cs="Segoe UI"/>
          <w:color w:val="000000" w:themeColor="text1"/>
          <w:sz w:val="16"/>
          <w:szCs w:val="16"/>
          <w:shd w:val="clear" w:color="auto" w:fill="F7F7F8"/>
        </w:rPr>
        <w:t xml:space="preserve">: </w:t>
      </w:r>
      <w:r w:rsidR="00231B7B" w:rsidRPr="00231B7B">
        <w:rPr>
          <w:rFonts w:asciiTheme="minorEastAsia" w:hAnsiTheme="minorEastAsia" w:cs="Segoe UI"/>
          <w:color w:val="000000" w:themeColor="text1"/>
          <w:sz w:val="16"/>
          <w:szCs w:val="16"/>
          <w:shd w:val="clear" w:color="auto" w:fill="F7F7F8"/>
        </w:rPr>
        <w:t>Monopoly</w:t>
      </w:r>
      <w:r w:rsidR="00231B7B" w:rsidRPr="00231B7B">
        <w:rPr>
          <w:rFonts w:asciiTheme="minorEastAsia" w:hAnsiTheme="minorEastAsia" w:cs="Segoe UI"/>
          <w:color w:val="000000" w:themeColor="text1"/>
          <w:sz w:val="16"/>
          <w:szCs w:val="16"/>
          <w:shd w:val="clear" w:color="auto" w:fill="F7F7F8"/>
        </w:rPr>
        <w:t xml:space="preserve">, </w:t>
      </w:r>
      <w:r w:rsidR="00231B7B" w:rsidRPr="00231B7B">
        <w:rPr>
          <w:rFonts w:asciiTheme="minorEastAsia" w:hAnsiTheme="minorEastAsia" w:cs="Segoe UI"/>
          <w:color w:val="000000" w:themeColor="text1"/>
          <w:sz w:val="16"/>
          <w:szCs w:val="16"/>
          <w:shd w:val="clear" w:color="auto" w:fill="F7F7F8"/>
        </w:rPr>
        <w:t>Chapter 35</w:t>
      </w:r>
      <w:r w:rsidR="00231B7B" w:rsidRPr="00231B7B">
        <w:rPr>
          <w:rFonts w:asciiTheme="minorEastAsia" w:hAnsiTheme="minorEastAsia" w:cs="Segoe UI"/>
          <w:color w:val="000000" w:themeColor="text1"/>
          <w:sz w:val="16"/>
          <w:szCs w:val="16"/>
          <w:shd w:val="clear" w:color="auto" w:fill="F7F7F8"/>
        </w:rPr>
        <w:t xml:space="preserve">: </w:t>
      </w:r>
      <w:r w:rsidR="00231B7B" w:rsidRPr="00231B7B">
        <w:rPr>
          <w:rFonts w:asciiTheme="minorEastAsia" w:hAnsiTheme="minorEastAsia" w:cs="Segoe UI"/>
          <w:color w:val="000000" w:themeColor="text1"/>
          <w:sz w:val="16"/>
          <w:szCs w:val="16"/>
          <w:shd w:val="clear" w:color="auto" w:fill="F7F7F8"/>
        </w:rPr>
        <w:t>Public Goods and Tax Policy</w:t>
      </w:r>
      <w:r w:rsidR="00231B7B" w:rsidRPr="00231B7B">
        <w:rPr>
          <w:rFonts w:asciiTheme="minorEastAsia" w:hAnsiTheme="minorEastAsia" w:cs="Segoe UI"/>
          <w:color w:val="000000" w:themeColor="text1"/>
          <w:sz w:val="16"/>
          <w:szCs w:val="16"/>
          <w:shd w:val="clear" w:color="auto" w:fill="F7F7F8"/>
        </w:rPr>
        <w:t>)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4317C1"/>
    <w:multiLevelType w:val="hybridMultilevel"/>
    <w:tmpl w:val="7C9622D0"/>
    <w:lvl w:ilvl="0" w:tplc="E47E67D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95907476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Park Yangha">
    <w15:presenceInfo w15:providerId="Windows Live" w15:userId="d73799b3f331595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C38"/>
    <w:rsid w:val="00231B7B"/>
    <w:rsid w:val="00263F2F"/>
    <w:rsid w:val="002B3F15"/>
    <w:rsid w:val="003B7C38"/>
    <w:rsid w:val="006F7D78"/>
    <w:rsid w:val="00A51472"/>
    <w:rsid w:val="00B02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1EDCF"/>
  <w15:chartTrackingRefBased/>
  <w15:docId w15:val="{F95EAA31-C5AF-4E88-941C-21CE38DD0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B7C38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3B7C38"/>
  </w:style>
  <w:style w:type="paragraph" w:styleId="Footer">
    <w:name w:val="footer"/>
    <w:basedOn w:val="Normal"/>
    <w:link w:val="FooterChar"/>
    <w:uiPriority w:val="99"/>
    <w:unhideWhenUsed/>
    <w:rsid w:val="003B7C38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3B7C38"/>
  </w:style>
  <w:style w:type="paragraph" w:styleId="ListParagraph">
    <w:name w:val="List Paragraph"/>
    <w:basedOn w:val="Normal"/>
    <w:uiPriority w:val="34"/>
    <w:qFormat/>
    <w:rsid w:val="003B7C38"/>
    <w:pPr>
      <w:ind w:leftChars="400" w:left="800"/>
    </w:pPr>
  </w:style>
  <w:style w:type="character" w:styleId="CommentReference">
    <w:name w:val="annotation reference"/>
    <w:basedOn w:val="DefaultParagraphFont"/>
    <w:uiPriority w:val="99"/>
    <w:semiHidden/>
    <w:unhideWhenUsed/>
    <w:rsid w:val="003B7C38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3B7C38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3B7C38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7C3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B7C38"/>
    <w:rPr>
      <w:b/>
      <w:b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B7C38"/>
    <w:pPr>
      <w:snapToGrid w:val="0"/>
      <w:jc w:val="left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B7C38"/>
  </w:style>
  <w:style w:type="character" w:styleId="FootnoteReference">
    <w:name w:val="footnote reference"/>
    <w:basedOn w:val="DefaultParagraphFont"/>
    <w:uiPriority w:val="99"/>
    <w:semiHidden/>
    <w:unhideWhenUsed/>
    <w:rsid w:val="003B7C3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 Yangha</dc:creator>
  <cp:keywords/>
  <dc:description/>
  <cp:lastModifiedBy>Park Yangha</cp:lastModifiedBy>
  <cp:revision>2</cp:revision>
  <dcterms:created xsi:type="dcterms:W3CDTF">2023-06-11T11:58:00Z</dcterms:created>
  <dcterms:modified xsi:type="dcterms:W3CDTF">2023-06-11T12:19:00Z</dcterms:modified>
</cp:coreProperties>
</file>