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EE759" w14:textId="22839973" w:rsidR="001303A4" w:rsidRPr="00421704" w:rsidRDefault="00077FC8" w:rsidP="00077FC8">
      <w:pPr>
        <w:pStyle w:val="ListParagraph"/>
        <w:numPr>
          <w:ilvl w:val="0"/>
          <w:numId w:val="1"/>
        </w:numPr>
        <w:rPr>
          <w:sz w:val="28"/>
          <w:szCs w:val="28"/>
        </w:rPr>
      </w:pPr>
      <w:r w:rsidRPr="00421704">
        <w:rPr>
          <w:sz w:val="28"/>
          <w:szCs w:val="28"/>
        </w:rPr>
        <w:t>Sales Forecast and The Actuals</w:t>
      </w:r>
    </w:p>
    <w:tbl>
      <w:tblPr>
        <w:tblStyle w:val="TableGrid"/>
        <w:tblW w:w="0" w:type="auto"/>
        <w:tblLayout w:type="fixed"/>
        <w:tblLook w:val="04A0" w:firstRow="1" w:lastRow="0" w:firstColumn="1" w:lastColumn="0" w:noHBand="0" w:noVBand="1"/>
      </w:tblPr>
      <w:tblGrid>
        <w:gridCol w:w="3114"/>
        <w:gridCol w:w="2126"/>
        <w:gridCol w:w="1985"/>
        <w:gridCol w:w="1791"/>
      </w:tblGrid>
      <w:tr w:rsidR="00077FC8" w14:paraId="18400E59" w14:textId="77777777" w:rsidTr="00174669">
        <w:tc>
          <w:tcPr>
            <w:tcW w:w="3114" w:type="dxa"/>
            <w:shd w:val="clear" w:color="auto" w:fill="000000" w:themeFill="text1"/>
          </w:tcPr>
          <w:p w14:paraId="7CEACECC" w14:textId="77777777" w:rsidR="00077FC8" w:rsidRDefault="00077FC8" w:rsidP="00174669">
            <w:r>
              <w:t>Sales</w:t>
            </w:r>
          </w:p>
        </w:tc>
        <w:tc>
          <w:tcPr>
            <w:tcW w:w="2126" w:type="dxa"/>
            <w:shd w:val="clear" w:color="auto" w:fill="000000" w:themeFill="text1"/>
          </w:tcPr>
          <w:p w14:paraId="570C52A8" w14:textId="77777777" w:rsidR="00077FC8" w:rsidRDefault="00077FC8" w:rsidP="00174669">
            <w:pPr>
              <w:jc w:val="center"/>
            </w:pPr>
            <w:r>
              <w:t>Forecast</w:t>
            </w:r>
          </w:p>
        </w:tc>
        <w:tc>
          <w:tcPr>
            <w:tcW w:w="1985" w:type="dxa"/>
            <w:shd w:val="clear" w:color="auto" w:fill="000000" w:themeFill="text1"/>
          </w:tcPr>
          <w:p w14:paraId="0ECBDC43" w14:textId="77777777" w:rsidR="00077FC8" w:rsidRDefault="00077FC8" w:rsidP="00174669">
            <w:pPr>
              <w:jc w:val="center"/>
            </w:pPr>
            <w:r>
              <w:t>Actual</w:t>
            </w:r>
          </w:p>
        </w:tc>
        <w:tc>
          <w:tcPr>
            <w:tcW w:w="1791" w:type="dxa"/>
            <w:shd w:val="clear" w:color="auto" w:fill="000000" w:themeFill="text1"/>
          </w:tcPr>
          <w:p w14:paraId="3DCDB907" w14:textId="66D3DAE3" w:rsidR="00077FC8" w:rsidRDefault="00421704" w:rsidP="00174669">
            <w:pPr>
              <w:jc w:val="center"/>
              <w:rPr>
                <w:rFonts w:hint="eastAsia"/>
              </w:rPr>
            </w:pPr>
            <w:r>
              <w:t>Comparison</w:t>
            </w:r>
          </w:p>
        </w:tc>
      </w:tr>
      <w:tr w:rsidR="00077FC8" w14:paraId="1C3236E7" w14:textId="77777777" w:rsidTr="00174669">
        <w:tc>
          <w:tcPr>
            <w:tcW w:w="3114" w:type="dxa"/>
          </w:tcPr>
          <w:p w14:paraId="6C7326C6" w14:textId="77777777" w:rsidR="00077FC8" w:rsidRDefault="00077FC8" w:rsidP="00174669">
            <w:r>
              <w:t>Corporate Employees</w:t>
            </w:r>
          </w:p>
        </w:tc>
        <w:tc>
          <w:tcPr>
            <w:tcW w:w="2126" w:type="dxa"/>
          </w:tcPr>
          <w:p w14:paraId="18A36DD9" w14:textId="77777777" w:rsidR="00077FC8" w:rsidRDefault="00077FC8" w:rsidP="00174669">
            <w:pPr>
              <w:jc w:val="center"/>
            </w:pPr>
            <w:r>
              <w:t>$298,783</w:t>
            </w:r>
          </w:p>
        </w:tc>
        <w:tc>
          <w:tcPr>
            <w:tcW w:w="1985" w:type="dxa"/>
          </w:tcPr>
          <w:p w14:paraId="50B9D14F" w14:textId="77777777" w:rsidR="00077FC8" w:rsidRDefault="00077FC8" w:rsidP="00174669">
            <w:pPr>
              <w:jc w:val="center"/>
            </w:pPr>
            <w:r>
              <w:t>$258,935</w:t>
            </w:r>
          </w:p>
        </w:tc>
        <w:tc>
          <w:tcPr>
            <w:tcW w:w="1791" w:type="dxa"/>
          </w:tcPr>
          <w:p w14:paraId="039F9560" w14:textId="56683907" w:rsidR="00077FC8" w:rsidRDefault="00077FC8" w:rsidP="00174669">
            <w:pPr>
              <w:jc w:val="center"/>
            </w:pPr>
            <w:r>
              <w:rPr>
                <w:color w:val="FF0000"/>
              </w:rPr>
              <w:t>-</w:t>
            </w:r>
            <w:r w:rsidRPr="00077FC8">
              <w:rPr>
                <w:color w:val="FF0000"/>
              </w:rPr>
              <w:t>$39,848</w:t>
            </w:r>
          </w:p>
        </w:tc>
      </w:tr>
      <w:tr w:rsidR="00077FC8" w14:paraId="1F45B9E3" w14:textId="77777777" w:rsidTr="00174669">
        <w:tc>
          <w:tcPr>
            <w:tcW w:w="3114" w:type="dxa"/>
          </w:tcPr>
          <w:p w14:paraId="4D710A25" w14:textId="77777777" w:rsidR="00077FC8" w:rsidRDefault="00077FC8" w:rsidP="00174669">
            <w:r>
              <w:t>Regular Clients</w:t>
            </w:r>
          </w:p>
        </w:tc>
        <w:tc>
          <w:tcPr>
            <w:tcW w:w="2126" w:type="dxa"/>
          </w:tcPr>
          <w:p w14:paraId="049EF933" w14:textId="77777777" w:rsidR="00077FC8" w:rsidRDefault="00077FC8" w:rsidP="00174669">
            <w:pPr>
              <w:jc w:val="center"/>
            </w:pPr>
            <w:r>
              <w:t>$242,077</w:t>
            </w:r>
          </w:p>
        </w:tc>
        <w:tc>
          <w:tcPr>
            <w:tcW w:w="1985" w:type="dxa"/>
          </w:tcPr>
          <w:p w14:paraId="61CABF24" w14:textId="77777777" w:rsidR="00077FC8" w:rsidRDefault="00077FC8" w:rsidP="00174669">
            <w:pPr>
              <w:jc w:val="center"/>
            </w:pPr>
            <w:r>
              <w:t>$280,952</w:t>
            </w:r>
          </w:p>
        </w:tc>
        <w:tc>
          <w:tcPr>
            <w:tcW w:w="1791" w:type="dxa"/>
          </w:tcPr>
          <w:p w14:paraId="3A13A8F6" w14:textId="7F6F659D" w:rsidR="00077FC8" w:rsidRDefault="00077FC8" w:rsidP="00174669">
            <w:pPr>
              <w:jc w:val="center"/>
            </w:pPr>
            <w:r w:rsidRPr="00077FC8">
              <w:rPr>
                <w:color w:val="0070C0"/>
              </w:rPr>
              <w:t>$38,875</w:t>
            </w:r>
          </w:p>
        </w:tc>
      </w:tr>
      <w:tr w:rsidR="00077FC8" w14:paraId="60053695" w14:textId="77777777" w:rsidTr="00174669">
        <w:tc>
          <w:tcPr>
            <w:tcW w:w="3114" w:type="dxa"/>
          </w:tcPr>
          <w:p w14:paraId="50F90F1B" w14:textId="77777777" w:rsidR="00077FC8" w:rsidRDefault="00077FC8" w:rsidP="00174669">
            <w:r>
              <w:t>Total Sales</w:t>
            </w:r>
          </w:p>
        </w:tc>
        <w:tc>
          <w:tcPr>
            <w:tcW w:w="2126" w:type="dxa"/>
          </w:tcPr>
          <w:p w14:paraId="7DC5703F" w14:textId="77777777" w:rsidR="00077FC8" w:rsidRDefault="00077FC8" w:rsidP="00174669">
            <w:pPr>
              <w:jc w:val="center"/>
            </w:pPr>
            <w:r>
              <w:t>$540,860</w:t>
            </w:r>
          </w:p>
        </w:tc>
        <w:tc>
          <w:tcPr>
            <w:tcW w:w="1985" w:type="dxa"/>
          </w:tcPr>
          <w:p w14:paraId="1A70213E" w14:textId="77777777" w:rsidR="00077FC8" w:rsidRDefault="00077FC8" w:rsidP="00174669">
            <w:pPr>
              <w:jc w:val="center"/>
            </w:pPr>
            <w:r>
              <w:t>$540,860</w:t>
            </w:r>
          </w:p>
        </w:tc>
        <w:tc>
          <w:tcPr>
            <w:tcW w:w="1791" w:type="dxa"/>
          </w:tcPr>
          <w:p w14:paraId="5AB800D8" w14:textId="55CA356F" w:rsidR="00077FC8" w:rsidRDefault="00077FC8" w:rsidP="00174669">
            <w:pPr>
              <w:jc w:val="center"/>
            </w:pPr>
            <w:r>
              <w:t>$0</w:t>
            </w:r>
          </w:p>
        </w:tc>
      </w:tr>
      <w:tr w:rsidR="00077FC8" w14:paraId="6B0D174A" w14:textId="77777777" w:rsidTr="00174669">
        <w:tc>
          <w:tcPr>
            <w:tcW w:w="3114" w:type="dxa"/>
            <w:shd w:val="clear" w:color="auto" w:fill="000000" w:themeFill="text1"/>
          </w:tcPr>
          <w:p w14:paraId="430BE358" w14:textId="77777777" w:rsidR="00077FC8" w:rsidRDefault="00077FC8" w:rsidP="00174669">
            <w:r>
              <w:t>Direct Cost of Sales</w:t>
            </w:r>
          </w:p>
        </w:tc>
        <w:tc>
          <w:tcPr>
            <w:tcW w:w="2126" w:type="dxa"/>
            <w:shd w:val="clear" w:color="auto" w:fill="000000" w:themeFill="text1"/>
          </w:tcPr>
          <w:p w14:paraId="3A1D926B" w14:textId="77777777" w:rsidR="00077FC8" w:rsidRDefault="00077FC8" w:rsidP="00174669">
            <w:pPr>
              <w:jc w:val="center"/>
            </w:pPr>
            <w:r>
              <w:t>Forecast</w:t>
            </w:r>
          </w:p>
        </w:tc>
        <w:tc>
          <w:tcPr>
            <w:tcW w:w="1985" w:type="dxa"/>
            <w:shd w:val="clear" w:color="auto" w:fill="000000" w:themeFill="text1"/>
          </w:tcPr>
          <w:p w14:paraId="1B86D87B" w14:textId="77777777" w:rsidR="00077FC8" w:rsidRDefault="00077FC8" w:rsidP="00174669">
            <w:pPr>
              <w:jc w:val="center"/>
            </w:pPr>
            <w:r>
              <w:t>Actual</w:t>
            </w:r>
          </w:p>
        </w:tc>
        <w:tc>
          <w:tcPr>
            <w:tcW w:w="1791" w:type="dxa"/>
            <w:shd w:val="clear" w:color="auto" w:fill="000000" w:themeFill="text1"/>
          </w:tcPr>
          <w:p w14:paraId="1F2BB6B6" w14:textId="0FF8DEDB" w:rsidR="00077FC8" w:rsidRDefault="00421704" w:rsidP="00174669">
            <w:pPr>
              <w:jc w:val="center"/>
            </w:pPr>
            <w:r>
              <w:t>Comparison</w:t>
            </w:r>
          </w:p>
        </w:tc>
      </w:tr>
      <w:tr w:rsidR="00077FC8" w14:paraId="0A646B66" w14:textId="77777777" w:rsidTr="00174669">
        <w:tc>
          <w:tcPr>
            <w:tcW w:w="3114" w:type="dxa"/>
          </w:tcPr>
          <w:p w14:paraId="70437468" w14:textId="77777777" w:rsidR="00077FC8" w:rsidRDefault="00077FC8" w:rsidP="00174669">
            <w:r>
              <w:t>Corporate Employees</w:t>
            </w:r>
          </w:p>
        </w:tc>
        <w:tc>
          <w:tcPr>
            <w:tcW w:w="2126" w:type="dxa"/>
          </w:tcPr>
          <w:p w14:paraId="66D5A3CE" w14:textId="77777777" w:rsidR="00077FC8" w:rsidRDefault="00077FC8" w:rsidP="00174669">
            <w:pPr>
              <w:jc w:val="center"/>
            </w:pPr>
            <w:r>
              <w:t>$29,878</w:t>
            </w:r>
          </w:p>
        </w:tc>
        <w:tc>
          <w:tcPr>
            <w:tcW w:w="1985" w:type="dxa"/>
          </w:tcPr>
          <w:p w14:paraId="2CF9F093" w14:textId="77777777" w:rsidR="00077FC8" w:rsidRDefault="00077FC8" w:rsidP="00174669">
            <w:pPr>
              <w:jc w:val="center"/>
            </w:pPr>
            <w:r>
              <w:t>$47,357</w:t>
            </w:r>
          </w:p>
        </w:tc>
        <w:tc>
          <w:tcPr>
            <w:tcW w:w="1791" w:type="dxa"/>
          </w:tcPr>
          <w:p w14:paraId="0B8F0FF9" w14:textId="602FBC24" w:rsidR="00077FC8" w:rsidRPr="00077FC8" w:rsidRDefault="00077FC8" w:rsidP="00174669">
            <w:pPr>
              <w:jc w:val="center"/>
              <w:rPr>
                <w:color w:val="FF0000"/>
              </w:rPr>
            </w:pPr>
            <w:r w:rsidRPr="00077FC8">
              <w:rPr>
                <w:color w:val="FF0000"/>
              </w:rPr>
              <w:t>$17,479</w:t>
            </w:r>
          </w:p>
        </w:tc>
      </w:tr>
      <w:tr w:rsidR="00077FC8" w14:paraId="3BA354AD" w14:textId="77777777" w:rsidTr="00174669">
        <w:tc>
          <w:tcPr>
            <w:tcW w:w="3114" w:type="dxa"/>
          </w:tcPr>
          <w:p w14:paraId="4978D469" w14:textId="77777777" w:rsidR="00077FC8" w:rsidRDefault="00077FC8" w:rsidP="00174669">
            <w:r>
              <w:t>Regular Clients</w:t>
            </w:r>
          </w:p>
        </w:tc>
        <w:tc>
          <w:tcPr>
            <w:tcW w:w="2126" w:type="dxa"/>
          </w:tcPr>
          <w:p w14:paraId="3B79AE5D" w14:textId="77777777" w:rsidR="00077FC8" w:rsidRDefault="00077FC8" w:rsidP="00174669">
            <w:pPr>
              <w:jc w:val="center"/>
            </w:pPr>
            <w:r>
              <w:t>$24,208</w:t>
            </w:r>
          </w:p>
        </w:tc>
        <w:tc>
          <w:tcPr>
            <w:tcW w:w="1985" w:type="dxa"/>
          </w:tcPr>
          <w:p w14:paraId="4623070B" w14:textId="77777777" w:rsidR="00077FC8" w:rsidRDefault="00077FC8" w:rsidP="00174669">
            <w:pPr>
              <w:jc w:val="center"/>
            </w:pPr>
            <w:r>
              <w:t>$28,349</w:t>
            </w:r>
          </w:p>
        </w:tc>
        <w:tc>
          <w:tcPr>
            <w:tcW w:w="1791" w:type="dxa"/>
          </w:tcPr>
          <w:p w14:paraId="48D201FE" w14:textId="26007BE0" w:rsidR="00077FC8" w:rsidRPr="00077FC8" w:rsidRDefault="00077FC8" w:rsidP="00174669">
            <w:pPr>
              <w:jc w:val="center"/>
              <w:rPr>
                <w:color w:val="FF0000"/>
              </w:rPr>
            </w:pPr>
            <w:r w:rsidRPr="00077FC8">
              <w:rPr>
                <w:color w:val="FF0000"/>
              </w:rPr>
              <w:t>$4,141</w:t>
            </w:r>
          </w:p>
        </w:tc>
      </w:tr>
      <w:tr w:rsidR="00077FC8" w14:paraId="5EC164EB" w14:textId="77777777" w:rsidTr="00174669">
        <w:tc>
          <w:tcPr>
            <w:tcW w:w="3114" w:type="dxa"/>
          </w:tcPr>
          <w:p w14:paraId="03F43DCE" w14:textId="77777777" w:rsidR="00077FC8" w:rsidRDefault="00077FC8" w:rsidP="00174669">
            <w:r>
              <w:t>Subtotal Direct Cost of Sales</w:t>
            </w:r>
          </w:p>
        </w:tc>
        <w:tc>
          <w:tcPr>
            <w:tcW w:w="2126" w:type="dxa"/>
          </w:tcPr>
          <w:p w14:paraId="4BF3A9DA" w14:textId="77777777" w:rsidR="00077FC8" w:rsidRDefault="00077FC8" w:rsidP="00174669">
            <w:pPr>
              <w:jc w:val="center"/>
            </w:pPr>
            <w:r>
              <w:t>$54,086</w:t>
            </w:r>
          </w:p>
        </w:tc>
        <w:tc>
          <w:tcPr>
            <w:tcW w:w="1985" w:type="dxa"/>
          </w:tcPr>
          <w:p w14:paraId="5DC7FBDE" w14:textId="77777777" w:rsidR="00077FC8" w:rsidRDefault="00077FC8" w:rsidP="00174669">
            <w:pPr>
              <w:jc w:val="center"/>
            </w:pPr>
            <w:r>
              <w:t>$75,706</w:t>
            </w:r>
          </w:p>
        </w:tc>
        <w:tc>
          <w:tcPr>
            <w:tcW w:w="1791" w:type="dxa"/>
          </w:tcPr>
          <w:p w14:paraId="5C164E29" w14:textId="4E8BCED0" w:rsidR="00077FC8" w:rsidRPr="00077FC8" w:rsidRDefault="00077FC8" w:rsidP="00174669">
            <w:pPr>
              <w:jc w:val="center"/>
              <w:rPr>
                <w:color w:val="FF0000"/>
              </w:rPr>
            </w:pPr>
            <w:r w:rsidRPr="00077FC8">
              <w:rPr>
                <w:color w:val="FF0000"/>
              </w:rPr>
              <w:t>$21,620</w:t>
            </w:r>
          </w:p>
        </w:tc>
      </w:tr>
    </w:tbl>
    <w:p w14:paraId="1A9C6567" w14:textId="023D76AD" w:rsidR="00077FC8" w:rsidRDefault="00077FC8"/>
    <w:p w14:paraId="1196F703" w14:textId="0C15B168" w:rsidR="00421704" w:rsidRDefault="00421704" w:rsidP="00421704">
      <w:pPr>
        <w:pStyle w:val="ListParagraph"/>
        <w:numPr>
          <w:ilvl w:val="0"/>
          <w:numId w:val="2"/>
        </w:numPr>
      </w:pPr>
      <w:r>
        <w:t>They got more regular clients than expected but less corporate employees even though the y spent more money on the direct cost of sales for corporate employees. It could be said that their primary target was little bit wrong basically.</w:t>
      </w:r>
    </w:p>
    <w:p w14:paraId="37439AAE" w14:textId="5F02C3AB" w:rsidR="00421704" w:rsidRDefault="00421704" w:rsidP="00421704">
      <w:pPr>
        <w:pStyle w:val="ListParagraph"/>
        <w:numPr>
          <w:ilvl w:val="0"/>
          <w:numId w:val="2"/>
        </w:numPr>
      </w:pPr>
      <w:r>
        <w:t>They should figure out why and where did they spend their money on actually</w:t>
      </w:r>
      <w:r w:rsidR="005A774E">
        <w:t>.</w:t>
      </w:r>
    </w:p>
    <w:p w14:paraId="08196259" w14:textId="544455AE" w:rsidR="005A774E" w:rsidRDefault="005A774E" w:rsidP="00421704">
      <w:pPr>
        <w:pStyle w:val="ListParagraph"/>
        <w:numPr>
          <w:ilvl w:val="0"/>
          <w:numId w:val="2"/>
        </w:numPr>
      </w:pPr>
      <w:r>
        <w:t>They should analyse their sales including customer surveys to figure out each marketing methods’ effects.</w:t>
      </w:r>
    </w:p>
    <w:p w14:paraId="5AC42161" w14:textId="77777777" w:rsidR="00421704" w:rsidRDefault="00421704" w:rsidP="00421704">
      <w:pPr>
        <w:pStyle w:val="ListParagraph"/>
      </w:pPr>
    </w:p>
    <w:p w14:paraId="2704795A" w14:textId="77777777" w:rsidR="00421704" w:rsidRDefault="00421704" w:rsidP="00421704">
      <w:pPr>
        <w:pStyle w:val="ListParagraph"/>
      </w:pPr>
    </w:p>
    <w:p w14:paraId="55A7A114" w14:textId="74AD7596" w:rsidR="00077FC8" w:rsidRPr="00421704" w:rsidRDefault="00077FC8" w:rsidP="00077FC8">
      <w:pPr>
        <w:pStyle w:val="ListParagraph"/>
        <w:numPr>
          <w:ilvl w:val="0"/>
          <w:numId w:val="1"/>
        </w:numPr>
        <w:rPr>
          <w:sz w:val="28"/>
          <w:szCs w:val="28"/>
        </w:rPr>
      </w:pPr>
      <w:r w:rsidRPr="00421704">
        <w:rPr>
          <w:sz w:val="28"/>
          <w:szCs w:val="28"/>
        </w:rPr>
        <w:t>Marketing Expenses</w:t>
      </w:r>
    </w:p>
    <w:tbl>
      <w:tblPr>
        <w:tblStyle w:val="TableGrid"/>
        <w:tblW w:w="0" w:type="auto"/>
        <w:tblLook w:val="04A0" w:firstRow="1" w:lastRow="0" w:firstColumn="1" w:lastColumn="0" w:noHBand="0" w:noVBand="1"/>
      </w:tblPr>
      <w:tblGrid>
        <w:gridCol w:w="2471"/>
        <w:gridCol w:w="2196"/>
        <w:gridCol w:w="2187"/>
        <w:gridCol w:w="2162"/>
      </w:tblGrid>
      <w:tr w:rsidR="00421704" w14:paraId="493F341A" w14:textId="77777777" w:rsidTr="00421704">
        <w:tc>
          <w:tcPr>
            <w:tcW w:w="2471" w:type="dxa"/>
            <w:shd w:val="clear" w:color="auto" w:fill="000000" w:themeFill="text1"/>
          </w:tcPr>
          <w:p w14:paraId="099C99AC" w14:textId="7D55106C" w:rsidR="00077FC8" w:rsidRDefault="00077FC8" w:rsidP="00077FC8">
            <w:r>
              <w:t>Marketing Expense</w:t>
            </w:r>
          </w:p>
        </w:tc>
        <w:tc>
          <w:tcPr>
            <w:tcW w:w="2196" w:type="dxa"/>
            <w:shd w:val="clear" w:color="auto" w:fill="000000" w:themeFill="text1"/>
          </w:tcPr>
          <w:p w14:paraId="57C00824" w14:textId="38AA4925" w:rsidR="00077FC8" w:rsidRDefault="00077FC8" w:rsidP="00421704">
            <w:pPr>
              <w:jc w:val="center"/>
            </w:pPr>
            <w:r>
              <w:t>Forecast</w:t>
            </w:r>
          </w:p>
        </w:tc>
        <w:tc>
          <w:tcPr>
            <w:tcW w:w="2187" w:type="dxa"/>
            <w:shd w:val="clear" w:color="auto" w:fill="000000" w:themeFill="text1"/>
          </w:tcPr>
          <w:p w14:paraId="7D0530CE" w14:textId="62FBD3A9" w:rsidR="00077FC8" w:rsidRDefault="00077FC8" w:rsidP="00421704">
            <w:pPr>
              <w:jc w:val="center"/>
            </w:pPr>
            <w:r>
              <w:t>Actual</w:t>
            </w:r>
          </w:p>
        </w:tc>
        <w:tc>
          <w:tcPr>
            <w:tcW w:w="2162" w:type="dxa"/>
            <w:shd w:val="clear" w:color="auto" w:fill="000000" w:themeFill="text1"/>
          </w:tcPr>
          <w:p w14:paraId="4B2E45F9" w14:textId="30F46124" w:rsidR="00077FC8" w:rsidRDefault="00421704" w:rsidP="00421704">
            <w:pPr>
              <w:jc w:val="center"/>
            </w:pPr>
            <w:r>
              <w:t>Comparison</w:t>
            </w:r>
          </w:p>
        </w:tc>
      </w:tr>
      <w:tr w:rsidR="00077FC8" w14:paraId="0FC09359" w14:textId="77777777" w:rsidTr="00077FC8">
        <w:tc>
          <w:tcPr>
            <w:tcW w:w="2471" w:type="dxa"/>
          </w:tcPr>
          <w:p w14:paraId="18BEB0B3" w14:textId="12880F4F" w:rsidR="00077FC8" w:rsidRDefault="00077FC8" w:rsidP="00077FC8">
            <w:r>
              <w:t>Pamphlet Production</w:t>
            </w:r>
          </w:p>
        </w:tc>
        <w:tc>
          <w:tcPr>
            <w:tcW w:w="2196" w:type="dxa"/>
          </w:tcPr>
          <w:p w14:paraId="668D820A" w14:textId="3385D323" w:rsidR="00077FC8" w:rsidRDefault="00077FC8" w:rsidP="00421704">
            <w:pPr>
              <w:jc w:val="center"/>
            </w:pPr>
            <w:r>
              <w:t>$1,400</w:t>
            </w:r>
          </w:p>
        </w:tc>
        <w:tc>
          <w:tcPr>
            <w:tcW w:w="2187" w:type="dxa"/>
          </w:tcPr>
          <w:p w14:paraId="5DC2B09E" w14:textId="52C26949" w:rsidR="00077FC8" w:rsidRDefault="00077FC8" w:rsidP="00421704">
            <w:pPr>
              <w:jc w:val="center"/>
            </w:pPr>
            <w:r>
              <w:t>$1,400</w:t>
            </w:r>
          </w:p>
        </w:tc>
        <w:tc>
          <w:tcPr>
            <w:tcW w:w="2162" w:type="dxa"/>
          </w:tcPr>
          <w:p w14:paraId="10FE8853" w14:textId="498D26ED" w:rsidR="00077FC8" w:rsidRDefault="00077FC8" w:rsidP="00421704">
            <w:pPr>
              <w:jc w:val="center"/>
            </w:pPr>
            <w:r>
              <w:t>$0</w:t>
            </w:r>
          </w:p>
        </w:tc>
      </w:tr>
      <w:tr w:rsidR="00077FC8" w14:paraId="42BA606B" w14:textId="77777777" w:rsidTr="00077FC8">
        <w:tc>
          <w:tcPr>
            <w:tcW w:w="2471" w:type="dxa"/>
          </w:tcPr>
          <w:p w14:paraId="69E183D6" w14:textId="343FF62E" w:rsidR="00077FC8" w:rsidRDefault="00077FC8" w:rsidP="00077FC8">
            <w:r>
              <w:t>Website Production/Maintenance</w:t>
            </w:r>
          </w:p>
        </w:tc>
        <w:tc>
          <w:tcPr>
            <w:tcW w:w="2196" w:type="dxa"/>
          </w:tcPr>
          <w:p w14:paraId="0B8BA607" w14:textId="2104F6A3" w:rsidR="00077FC8" w:rsidRDefault="00077FC8" w:rsidP="00421704">
            <w:pPr>
              <w:jc w:val="center"/>
            </w:pPr>
            <w:r>
              <w:t>$9,200</w:t>
            </w:r>
          </w:p>
        </w:tc>
        <w:tc>
          <w:tcPr>
            <w:tcW w:w="2187" w:type="dxa"/>
          </w:tcPr>
          <w:p w14:paraId="076D02A2" w14:textId="6423B0AA" w:rsidR="00077FC8" w:rsidRDefault="00077FC8" w:rsidP="00421704">
            <w:pPr>
              <w:jc w:val="center"/>
            </w:pPr>
            <w:r>
              <w:t>$9,2</w:t>
            </w:r>
            <w:r>
              <w:t>18</w:t>
            </w:r>
          </w:p>
        </w:tc>
        <w:tc>
          <w:tcPr>
            <w:tcW w:w="2162" w:type="dxa"/>
          </w:tcPr>
          <w:p w14:paraId="7C0ABB24" w14:textId="6CAAC7EF" w:rsidR="00077FC8" w:rsidRPr="00421704" w:rsidRDefault="00077FC8" w:rsidP="00421704">
            <w:pPr>
              <w:jc w:val="center"/>
              <w:rPr>
                <w:color w:val="FF0000"/>
              </w:rPr>
            </w:pPr>
            <w:r w:rsidRPr="00421704">
              <w:rPr>
                <w:color w:val="FF0000"/>
              </w:rPr>
              <w:t>$18</w:t>
            </w:r>
          </w:p>
        </w:tc>
      </w:tr>
      <w:tr w:rsidR="00077FC8" w14:paraId="657A822B" w14:textId="77777777" w:rsidTr="00077FC8">
        <w:tc>
          <w:tcPr>
            <w:tcW w:w="2471" w:type="dxa"/>
          </w:tcPr>
          <w:p w14:paraId="0311CAF5" w14:textId="4A10AC22" w:rsidR="00077FC8" w:rsidRDefault="00077FC8" w:rsidP="00077FC8">
            <w:r>
              <w:t>Other</w:t>
            </w:r>
          </w:p>
        </w:tc>
        <w:tc>
          <w:tcPr>
            <w:tcW w:w="2196" w:type="dxa"/>
          </w:tcPr>
          <w:p w14:paraId="5CA3C390" w14:textId="56D636FC" w:rsidR="00077FC8" w:rsidRDefault="00077FC8" w:rsidP="00421704">
            <w:pPr>
              <w:jc w:val="center"/>
            </w:pPr>
            <w:r>
              <w:t>$14,000</w:t>
            </w:r>
          </w:p>
        </w:tc>
        <w:tc>
          <w:tcPr>
            <w:tcW w:w="2187" w:type="dxa"/>
          </w:tcPr>
          <w:p w14:paraId="11924BC0" w14:textId="74CFF199" w:rsidR="00077FC8" w:rsidRDefault="00077FC8" w:rsidP="00421704">
            <w:pPr>
              <w:jc w:val="center"/>
            </w:pPr>
            <w:r>
              <w:t>$</w:t>
            </w:r>
            <w:r>
              <w:t>38</w:t>
            </w:r>
            <w:r>
              <w:t>,</w:t>
            </w:r>
            <w:r>
              <w:t>6</w:t>
            </w:r>
            <w:r>
              <w:t>00</w:t>
            </w:r>
          </w:p>
        </w:tc>
        <w:tc>
          <w:tcPr>
            <w:tcW w:w="2162" w:type="dxa"/>
          </w:tcPr>
          <w:p w14:paraId="3470C677" w14:textId="2EB611FC" w:rsidR="00077FC8" w:rsidRPr="00421704" w:rsidRDefault="00077FC8" w:rsidP="00421704">
            <w:pPr>
              <w:jc w:val="center"/>
              <w:rPr>
                <w:color w:val="FF0000"/>
              </w:rPr>
            </w:pPr>
            <w:r w:rsidRPr="00421704">
              <w:rPr>
                <w:color w:val="FF0000"/>
              </w:rPr>
              <w:t>$24,600</w:t>
            </w:r>
          </w:p>
        </w:tc>
      </w:tr>
      <w:tr w:rsidR="00077FC8" w14:paraId="186CDD60" w14:textId="77777777" w:rsidTr="00077FC8">
        <w:tc>
          <w:tcPr>
            <w:tcW w:w="2471" w:type="dxa"/>
          </w:tcPr>
          <w:p w14:paraId="789DCEE2" w14:textId="5E38C5E9" w:rsidR="00077FC8" w:rsidRDefault="00077FC8" w:rsidP="00077FC8">
            <w:r>
              <w:t>Additional Salaries</w:t>
            </w:r>
          </w:p>
        </w:tc>
        <w:tc>
          <w:tcPr>
            <w:tcW w:w="2196" w:type="dxa"/>
          </w:tcPr>
          <w:p w14:paraId="59169D86" w14:textId="64F3AEE0" w:rsidR="00077FC8" w:rsidRDefault="00077FC8" w:rsidP="00421704">
            <w:pPr>
              <w:jc w:val="center"/>
            </w:pPr>
            <w:r>
              <w:t>$0</w:t>
            </w:r>
          </w:p>
        </w:tc>
        <w:tc>
          <w:tcPr>
            <w:tcW w:w="2187" w:type="dxa"/>
          </w:tcPr>
          <w:p w14:paraId="53A60D66" w14:textId="7191A74F" w:rsidR="00077FC8" w:rsidRDefault="00077FC8" w:rsidP="00421704">
            <w:pPr>
              <w:jc w:val="center"/>
            </w:pPr>
            <w:r>
              <w:t>$24,600</w:t>
            </w:r>
          </w:p>
        </w:tc>
        <w:tc>
          <w:tcPr>
            <w:tcW w:w="2162" w:type="dxa"/>
          </w:tcPr>
          <w:p w14:paraId="245CD53A" w14:textId="10200E3B" w:rsidR="00077FC8" w:rsidRPr="00421704" w:rsidRDefault="00077FC8" w:rsidP="00421704">
            <w:pPr>
              <w:jc w:val="center"/>
              <w:rPr>
                <w:color w:val="FF0000"/>
              </w:rPr>
            </w:pPr>
            <w:r w:rsidRPr="00421704">
              <w:rPr>
                <w:color w:val="FF0000"/>
              </w:rPr>
              <w:t>$24,600</w:t>
            </w:r>
          </w:p>
        </w:tc>
      </w:tr>
      <w:tr w:rsidR="00077FC8" w14:paraId="280FA321" w14:textId="77777777" w:rsidTr="00077FC8">
        <w:tc>
          <w:tcPr>
            <w:tcW w:w="2471" w:type="dxa"/>
          </w:tcPr>
          <w:p w14:paraId="27E09BA4" w14:textId="09F7EE7A" w:rsidR="00077FC8" w:rsidRDefault="00077FC8" w:rsidP="00077FC8">
            <w:r>
              <w:t>Total Sales and Marketing Expenses</w:t>
            </w:r>
          </w:p>
        </w:tc>
        <w:tc>
          <w:tcPr>
            <w:tcW w:w="2196" w:type="dxa"/>
          </w:tcPr>
          <w:p w14:paraId="6EBFAB42" w14:textId="379E6931" w:rsidR="00077FC8" w:rsidRDefault="00077FC8" w:rsidP="00421704">
            <w:pPr>
              <w:jc w:val="center"/>
            </w:pPr>
            <w:r>
              <w:t>$24,600</w:t>
            </w:r>
          </w:p>
        </w:tc>
        <w:tc>
          <w:tcPr>
            <w:tcW w:w="2187" w:type="dxa"/>
          </w:tcPr>
          <w:p w14:paraId="4A19E429" w14:textId="78DE0ECF" w:rsidR="00077FC8" w:rsidRDefault="00077FC8" w:rsidP="00421704">
            <w:pPr>
              <w:jc w:val="center"/>
            </w:pPr>
            <w:r>
              <w:t>$</w:t>
            </w:r>
            <w:r>
              <w:t>73</w:t>
            </w:r>
            <w:r>
              <w:t>,</w:t>
            </w:r>
            <w:r>
              <w:t>818</w:t>
            </w:r>
          </w:p>
        </w:tc>
        <w:tc>
          <w:tcPr>
            <w:tcW w:w="2162" w:type="dxa"/>
          </w:tcPr>
          <w:p w14:paraId="5E52C2FF" w14:textId="36EA6F58" w:rsidR="00077FC8" w:rsidRPr="00421704" w:rsidRDefault="00421704" w:rsidP="00421704">
            <w:pPr>
              <w:jc w:val="center"/>
              <w:rPr>
                <w:color w:val="FF0000"/>
              </w:rPr>
            </w:pPr>
            <w:r w:rsidRPr="00421704">
              <w:rPr>
                <w:color w:val="FF0000"/>
              </w:rPr>
              <w:t>$</w:t>
            </w:r>
            <w:r>
              <w:rPr>
                <w:color w:val="FF0000"/>
              </w:rPr>
              <w:t>49,218</w:t>
            </w:r>
          </w:p>
        </w:tc>
      </w:tr>
      <w:tr w:rsidR="00077FC8" w14:paraId="5E558FF3" w14:textId="77777777" w:rsidTr="00077FC8">
        <w:tc>
          <w:tcPr>
            <w:tcW w:w="2471" w:type="dxa"/>
          </w:tcPr>
          <w:p w14:paraId="7AF1F171" w14:textId="5341AD88" w:rsidR="00077FC8" w:rsidRDefault="00077FC8" w:rsidP="00077FC8">
            <w:r>
              <w:t>Percent of Sales</w:t>
            </w:r>
          </w:p>
        </w:tc>
        <w:tc>
          <w:tcPr>
            <w:tcW w:w="2196" w:type="dxa"/>
          </w:tcPr>
          <w:p w14:paraId="2EC86EB1" w14:textId="37D63FAC" w:rsidR="00077FC8" w:rsidRDefault="00077FC8" w:rsidP="00421704">
            <w:pPr>
              <w:jc w:val="center"/>
            </w:pPr>
            <w:r>
              <w:t>4.55%</w:t>
            </w:r>
          </w:p>
        </w:tc>
        <w:tc>
          <w:tcPr>
            <w:tcW w:w="2187" w:type="dxa"/>
          </w:tcPr>
          <w:p w14:paraId="5A4B52D7" w14:textId="3F15ACDC" w:rsidR="00077FC8" w:rsidRDefault="00077FC8" w:rsidP="00421704">
            <w:pPr>
              <w:jc w:val="center"/>
            </w:pPr>
            <w:r>
              <w:t>4.55%</w:t>
            </w:r>
          </w:p>
        </w:tc>
        <w:tc>
          <w:tcPr>
            <w:tcW w:w="2162" w:type="dxa"/>
          </w:tcPr>
          <w:p w14:paraId="16B5FA71" w14:textId="6C7B1FBC" w:rsidR="00077FC8" w:rsidRDefault="00077FC8" w:rsidP="00421704">
            <w:pPr>
              <w:jc w:val="center"/>
            </w:pPr>
            <w:r>
              <w:t>0%</w:t>
            </w:r>
          </w:p>
        </w:tc>
      </w:tr>
    </w:tbl>
    <w:p w14:paraId="3D84F8B3" w14:textId="4EDFC85B" w:rsidR="00077FC8" w:rsidRDefault="00077FC8" w:rsidP="00077FC8"/>
    <w:p w14:paraId="7A1627F7" w14:textId="61FDA4ED" w:rsidR="00421704" w:rsidRDefault="00421704" w:rsidP="00421704">
      <w:pPr>
        <w:pStyle w:val="ListParagraph"/>
        <w:numPr>
          <w:ilvl w:val="0"/>
          <w:numId w:val="2"/>
        </w:numPr>
      </w:pPr>
      <w:r>
        <w:t>There are 2 big mistakes on their predictions. First one is that they missed to forecast ‘Additional Salaries’ for their campaigns</w:t>
      </w:r>
      <w:r w:rsidR="005A774E">
        <w:t>, and second is on ‘Other’ which have to be detailed.</w:t>
      </w:r>
    </w:p>
    <w:p w14:paraId="5AACF6BB" w14:textId="64AA9EA2" w:rsidR="005A774E" w:rsidRDefault="005A774E" w:rsidP="00421704">
      <w:pPr>
        <w:pStyle w:val="ListParagraph"/>
        <w:numPr>
          <w:ilvl w:val="0"/>
          <w:numId w:val="2"/>
        </w:numPr>
      </w:pPr>
      <w:r>
        <w:t>I’d like to suggest them to start social media marketing which costs them lower than traditional marketing</w:t>
      </w:r>
      <w:r w:rsidR="00C445CF">
        <w:t>, especially on Facebook.</w:t>
      </w:r>
    </w:p>
    <w:p w14:paraId="0094996D" w14:textId="33FFB8A0" w:rsidR="00C445CF" w:rsidRDefault="00C445CF" w:rsidP="00421704">
      <w:pPr>
        <w:pStyle w:val="ListParagraph"/>
        <w:numPr>
          <w:ilvl w:val="0"/>
          <w:numId w:val="2"/>
        </w:numPr>
      </w:pPr>
      <w:r>
        <w:t>I’d like to suggest them to develop ‘exercise app’ which is going to be synchronised with Facebook. Exercise progress and objectives will be shown on user’s page and it will help people engaged to work out.</w:t>
      </w:r>
      <w:bookmarkStart w:id="0" w:name="_GoBack"/>
      <w:bookmarkEnd w:id="0"/>
    </w:p>
    <w:sectPr w:rsidR="00C44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1A6C5E"/>
    <w:multiLevelType w:val="hybridMultilevel"/>
    <w:tmpl w:val="4B3CA7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556705A"/>
    <w:multiLevelType w:val="hybridMultilevel"/>
    <w:tmpl w:val="1CAA2B68"/>
    <w:lvl w:ilvl="0" w:tplc="93CA1FA4">
      <w:start w:val="4"/>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3A4"/>
    <w:rsid w:val="00077FC8"/>
    <w:rsid w:val="001303A4"/>
    <w:rsid w:val="00421704"/>
    <w:rsid w:val="005A774E"/>
    <w:rsid w:val="00C445CF"/>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5BF3"/>
  <w15:chartTrackingRefBased/>
  <w15:docId w15:val="{CCAE49F3-11E4-4A41-819D-AD23F0596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0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7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2018-06-18T08:25:00Z</dcterms:created>
  <dcterms:modified xsi:type="dcterms:W3CDTF">2018-06-18T09:12:00Z</dcterms:modified>
</cp:coreProperties>
</file>