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he-all-translation-tool-white-paper"/>
    <w:p>
      <w:pPr>
        <w:pStyle w:val="Heading1"/>
      </w:pPr>
      <w:r>
        <w:t xml:space="preserve">The ALL Translation Tool — White Paper</w:t>
      </w:r>
    </w:p>
    <w:p>
      <w:pPr>
        <w:pStyle w:val="FirstParagraph"/>
      </w:pPr>
      <w:r>
        <w:rPr>
          <w:i/>
          <w:iCs/>
        </w:rPr>
        <w:t xml:space="preserve">A complete working environment for Tibetan texts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translation</w:t>
      </w:r>
    </w:p>
    <w:p>
      <w:pPr>
        <w:pStyle w:val="BodyText"/>
      </w:pPr>
      <w:r>
        <w:t xml:space="preserve">Asian Legacy Library · Asian Classics Input Project — August 2026</w:t>
      </w:r>
    </w:p>
    <w:p>
      <w:r>
        <w:pict>
          <v:rect style="width:0;height:1.5pt" o:hralign="center" o:hrstd="t" o:hr="t"/>
        </w:pict>
      </w:r>
    </w:p>
    <w:bookmarkStart w:id="9" w:name="the-mission"/>
    <w:p>
      <w:pPr>
        <w:pStyle w:val="Heading2"/>
      </w:pPr>
      <w:r>
        <w:t xml:space="preserve">1. The mission</w:t>
      </w:r>
    </w:p>
    <w:p>
      <w:pPr>
        <w:pStyle w:val="FirstParagraph"/>
      </w:pPr>
      <w:r>
        <w:t xml:space="preserve">Forty years ago, the Asian Classics Input Project began typing a</w:t>
      </w:r>
      <w:r>
        <w:t xml:space="preserve"> </w:t>
      </w:r>
      <w:r>
        <w:t xml:space="preserve">civilization’s library, keystroke by keystroke. In input centers</w:t>
      </w:r>
      <w:r>
        <w:t xml:space="preserve"> </w:t>
      </w:r>
      <w:r>
        <w:t xml:space="preserve">across Asia, operators sat before woodblock page scans and entered</w:t>
      </w:r>
      <w:r>
        <w:t xml:space="preserve"> </w:t>
      </w:r>
      <w:r>
        <w:t xml:space="preserve">the Kangyur, the Tengyur, and the collected works of the great</w:t>
      </w:r>
      <w:r>
        <w:t xml:space="preserve"> </w:t>
      </w:r>
      <w:r>
        <w:t xml:space="preserve">masters — twice each, by two independent typists, corrected until</w:t>
      </w:r>
      <w:r>
        <w:t xml:space="preserve"> </w:t>
      </w:r>
      <w:r>
        <w:t xml:space="preserve">the two files matched exactly, which has always been the rule. That</w:t>
      </w:r>
      <w:r>
        <w:t xml:space="preserve"> </w:t>
      </w:r>
      <w:r>
        <w:t xml:space="preserve">labor preserved the texts. This tool is what the library just</w:t>
      </w:r>
      <w:r>
        <w:t xml:space="preserve"> </w:t>
      </w:r>
      <w:r>
        <w:t xml:space="preserve">became: not an archive, but a living working environment in which</w:t>
      </w:r>
      <w:r>
        <w:t xml:space="preserve"> </w:t>
      </w:r>
      <w:r>
        <w:t xml:space="preserve">those same texts can be read, understood, translated, checked, and</w:t>
      </w:r>
      <w:r>
        <w:t xml:space="preserve"> </w:t>
      </w:r>
      <w:r>
        <w:t xml:space="preserve">taught.</w:t>
      </w:r>
    </w:p>
    <w:p>
      <w:pPr>
        <w:pStyle w:val="BodyText"/>
      </w:pPr>
      <w:r>
        <w:t xml:space="preserve">The ALL Translation Tool is a desktop application that gathers, in</w:t>
      </w:r>
      <w:r>
        <w:t xml:space="preserve"> </w:t>
      </w:r>
      <w:r>
        <w:t xml:space="preserve">one place, every function needed to work with a Tibetan digital</w:t>
      </w:r>
      <w:r>
        <w:t xml:space="preserve"> </w:t>
      </w:r>
      <w:r>
        <w:t xml:space="preserve">text: reading it, looking words up, converting between writing</w:t>
      </w:r>
      <w:r>
        <w:t xml:space="preserve"> </w:t>
      </w:r>
      <w:r>
        <w:t xml:space="preserve">systems, analyzing grammar, drafting a translation, checking that</w:t>
      </w:r>
      <w:r>
        <w:t xml:space="preserve"> </w:t>
      </w:r>
      <w:r>
        <w:t xml:space="preserve">draft, training the next generation of translators, and typing the</w:t>
      </w:r>
      <w:r>
        <w:t xml:space="preserve"> </w:t>
      </w:r>
      <w:r>
        <w:t xml:space="preserve">next text into existence. It is built around one central treasure:</w:t>
      </w:r>
      <w:r>
        <w:t xml:space="preserve"> </w:t>
      </w:r>
      <w:r>
        <w:t xml:space="preserve">the dictionary of English equivalents established by Geshe Michael</w:t>
      </w:r>
      <w:r>
        <w:t xml:space="preserve"> </w:t>
      </w:r>
      <w:r>
        <w:t xml:space="preserve">Roach across decades of teaching and translation, together with a</w:t>
      </w:r>
      <w:r>
        <w:t xml:space="preserve"> </w:t>
      </w:r>
      <w:r>
        <w:t xml:space="preserve">parallel corpus of 42,199 Tibetan–English segments drawn from more</w:t>
      </w:r>
      <w:r>
        <w:t xml:space="preserve"> </w:t>
      </w:r>
      <w:r>
        <w:t xml:space="preserve">than sixty of his courses and works — including three published</w:t>
      </w:r>
      <w:r>
        <w:t xml:space="preserve"> </w:t>
      </w:r>
      <w:r>
        <w:t xml:space="preserve">volumes (</w:t>
      </w:r>
      <w:r>
        <w:rPr>
          <w:i/>
          <w:iCs/>
        </w:rPr>
        <w:t xml:space="preserve">A Song of My Spiritual Life</w:t>
      </w:r>
      <w:r>
        <w:t xml:space="preserve">,</w:t>
      </w:r>
      <w:r>
        <w:t xml:space="preserve"> </w:t>
      </w:r>
      <w:r>
        <w:rPr>
          <w:i/>
          <w:iCs/>
        </w:rPr>
        <w:t xml:space="preserve">The Other Side of</w:t>
      </w:r>
      <w:r>
        <w:rPr>
          <w:i/>
          <w:iCs/>
        </w:rPr>
        <w:t xml:space="preserve"> </w:t>
      </w:r>
      <w:r>
        <w:rPr>
          <w:i/>
          <w:iCs/>
        </w:rPr>
        <w:t xml:space="preserve">Emptiness</w:t>
      </w:r>
      <w:r>
        <w:t xml:space="preserve">, and</w:t>
      </w:r>
      <w:r>
        <w:t xml:space="preserve"> </w:t>
      </w:r>
      <w:r>
        <w:rPr>
          <w:i/>
          <w:iCs/>
        </w:rPr>
        <w:t xml:space="preserve">The Sixty Verses of Nagarjuna</w:t>
      </w:r>
      <w:r>
        <w:t xml:space="preserve">) and nearly three</w:t>
      </w:r>
      <w:r>
        <w:t xml:space="preserve"> </w:t>
      </w:r>
      <w:r>
        <w:t xml:space="preserve">thousand paired Tibetan–English titles of canonical works from the</w:t>
      </w:r>
      <w:r>
        <w:t xml:space="preserve"> </w:t>
      </w:r>
      <w:r>
        <w:t xml:space="preserve">Project’s own master catalogs.</w:t>
      </w:r>
    </w:p>
    <w:p>
      <w:pPr>
        <w:pStyle w:val="BodyText"/>
      </w:pPr>
      <w:r>
        <w:t xml:space="preserve">The software is a fast, self-contained program for the Mac, with</w:t>
      </w:r>
      <w:r>
        <w:t xml:space="preserve"> </w:t>
      </w:r>
      <w:r>
        <w:t xml:space="preserve">Windows and Linux planned for the input centers. Everything</w:t>
      </w:r>
      <w:r>
        <w:t xml:space="preserve"> </w:t>
      </w:r>
      <w:r>
        <w:t xml:space="preserve">essential runs offline; the texts and the dictionary never leave</w:t>
      </w:r>
      <w:r>
        <w:t xml:space="preserve"> </w:t>
      </w:r>
      <w:r>
        <w:t xml:space="preserve">the machine.</w:t>
      </w:r>
    </w:p>
    <w:bookmarkEnd w:id="9"/>
    <w:bookmarkStart w:id="10" w:name="the-binding-layer-principle"/>
    <w:p>
      <w:pPr>
        <w:pStyle w:val="Heading2"/>
      </w:pPr>
      <w:r>
        <w:t xml:space="preserve">2. The binding-layer principle</w:t>
      </w:r>
    </w:p>
    <w:p>
      <w:pPr>
        <w:pStyle w:val="FirstParagraph"/>
      </w:pPr>
      <w:r>
        <w:t xml:space="preserve">One rule governs every pane of this application, and it deserves to</w:t>
      </w:r>
      <w:r>
        <w:t xml:space="preserve"> </w:t>
      </w:r>
      <w:r>
        <w:t xml:space="preserve">be stated before anything else:</w:t>
      </w:r>
    </w:p>
    <w:p>
      <w:pPr>
        <w:pStyle w:val="BodyText"/>
      </w:pPr>
      <w:r>
        <w:rPr>
          <w:b/>
          <w:bCs/>
        </w:rPr>
        <w:t xml:space="preserve">Geshe Michael’s English is the binding layer.</w:t>
      </w:r>
      <w:r>
        <w:t xml:space="preserve"> </w:t>
      </w:r>
      <w:r>
        <w:t xml:space="preserve">The dictionary</w:t>
      </w:r>
      <w:r>
        <w:t xml:space="preserve"> </w:t>
      </w:r>
      <w:r>
        <w:t xml:space="preserve">field carrying his equivalents is the authority everywhere in the</w:t>
      </w:r>
      <w:r>
        <w:t xml:space="preserve"> </w:t>
      </w:r>
      <w:r>
        <w:t xml:space="preserve">software. Reference materials from other scholars — Hopkins, Lokesh</w:t>
      </w:r>
      <w:r>
        <w:t xml:space="preserve"> </w:t>
      </w:r>
      <w:r>
        <w:t xml:space="preserve">Chandra, the Monlam project, Whitney’s Sanskrit works — are</w:t>
      </w:r>
      <w:r>
        <w:t xml:space="preserve"> </w:t>
      </w:r>
      <w:r>
        <w:t xml:space="preserve">displayed only as clearly-labeled comparanda, and are never</w:t>
      </w:r>
      <w:r>
        <w:t xml:space="preserve"> </w:t>
      </w:r>
      <w:r>
        <w:t xml:space="preserve">promoted into his voice. Machine processes may MATCH his English</w:t>
      </w:r>
      <w:r>
        <w:t xml:space="preserve"> </w:t>
      </w:r>
      <w:r>
        <w:t xml:space="preserve">from corpus evidence; they never compose English in his name.</w:t>
      </w:r>
    </w:p>
    <w:p>
      <w:pPr>
        <w:pStyle w:val="BodyText"/>
      </w:pPr>
      <w:r>
        <w:t xml:space="preserve">In the demo this was said in one line, and it remains the truest</w:t>
      </w:r>
      <w:r>
        <w:t xml:space="preserve"> </w:t>
      </w:r>
      <w:r>
        <w:t xml:space="preserve">summary of the design:</w:t>
      </w:r>
      <w:r>
        <w:t xml:space="preserve"> </w:t>
      </w:r>
      <w:r>
        <w:rPr>
          <w:i/>
          <w:iCs/>
        </w:rPr>
        <w:t xml:space="preserve">the machine never invents English — it only</w:t>
      </w:r>
      <w:r>
        <w:rPr>
          <w:i/>
          <w:iCs/>
        </w:rPr>
        <w:t xml:space="preserve"> </w:t>
      </w:r>
      <w:r>
        <w:rPr>
          <w:i/>
          <w:iCs/>
        </w:rPr>
        <w:t xml:space="preserve">ever shows you what the master already said.</w:t>
      </w:r>
      <w:r>
        <w:t xml:space="preserve"> </w:t>
      </w:r>
      <w:r>
        <w:t xml:space="preserve">When a student</w:t>
      </w:r>
      <w:r>
        <w:t xml:space="preserve"> </w:t>
      </w:r>
      <w:r>
        <w:t xml:space="preserve">reveals the</w:t>
      </w:r>
      <w:r>
        <w:t xml:space="preserve"> </w:t>
      </w:r>
      <w:r>
        <w:t xml:space="preserve">“answer key”</w:t>
      </w:r>
      <w:r>
        <w:t xml:space="preserve"> </w:t>
      </w:r>
      <w:r>
        <w:t xml:space="preserve">in the Trainer, the answer is Geshe</w:t>
      </w:r>
      <w:r>
        <w:t xml:space="preserve"> </w:t>
      </w:r>
      <w:r>
        <w:t xml:space="preserve">Michael’s own published rendering of that very passage. When a</w:t>
      </w:r>
      <w:r>
        <w:t xml:space="preserve"> </w:t>
      </w:r>
      <w:r>
        <w:t xml:space="preserve">translator presses</w:t>
      </w:r>
      <w:r>
        <w:t xml:space="preserve"> </w:t>
      </w:r>
      <w:r>
        <w:t xml:space="preserve">“Phrase memory”</w:t>
      </w:r>
      <w:r>
        <w:t xml:space="preserve"> </w:t>
      </w:r>
      <w:r>
        <w:t xml:space="preserve">in the Draft pane, what appears</w:t>
      </w:r>
      <w:r>
        <w:t xml:space="preserve"> </w:t>
      </w:r>
      <w:r>
        <w:t xml:space="preserve">is every time he has ever rendered those words — nothing more.</w:t>
      </w:r>
      <w:r>
        <w:t xml:space="preserve"> </w:t>
      </w:r>
      <w:r>
        <w:t xml:space="preserve">Where the corpus holds no answer, the software says so honestly</w:t>
      </w:r>
      <w:r>
        <w:t xml:space="preserve"> </w:t>
      </w:r>
      <w:r>
        <w:t xml:space="preserve">rather than manufacturing one.</w:t>
      </w:r>
    </w:p>
    <w:bookmarkEnd w:id="10"/>
    <w:bookmarkStart w:id="11" w:name="X8dc58cdc9cced15d9c83ab1525002d4cd507a95"/>
    <w:p>
      <w:pPr>
        <w:pStyle w:val="Heading2"/>
      </w:pPr>
      <w:r>
        <w:t xml:space="preserve">3. What the tool is: one window, six workflows, seventeen panes</w:t>
      </w:r>
    </w:p>
    <w:p>
      <w:pPr>
        <w:pStyle w:val="FirstParagraph"/>
      </w:pPr>
      <w:r>
        <w:t xml:space="preserve">The application is one window. Across the top run six workflow</w:t>
      </w:r>
      <w:r>
        <w:t xml:space="preserve"> </w:t>
      </w:r>
      <w:r>
        <w:t xml:space="preserve">tabs; inside each, a second row holds its working areas — seventeen</w:t>
      </w:r>
      <w:r>
        <w:t xml:space="preserve"> </w:t>
      </w:r>
      <w:r>
        <w:t xml:space="preserve">panes in all, sharing one dictionary of 105,634 entries, 12,004 of</w:t>
      </w:r>
      <w:r>
        <w:t xml:space="preserve"> </w:t>
      </w:r>
      <w:r>
        <w:t xml:space="preserve">them carrying Geshe Michael’s English in tiered quality (curated,</w:t>
      </w:r>
      <w:r>
        <w:t xml:space="preserve"> </w:t>
      </w:r>
      <w:r>
        <w:t xml:space="preserve">glossary, provisional).</w:t>
      </w:r>
    </w:p>
    <w:p>
      <w:pPr>
        <w:pStyle w:val="BodyText"/>
      </w:pPr>
      <w:r>
        <w:rPr>
          <w:b/>
          <w:bCs/>
        </w:rPr>
        <w:t xml:space="preserve">Read</w:t>
      </w:r>
      <w:r>
        <w:t xml:space="preserve"> </w:t>
      </w:r>
      <w:r>
        <w:t xml:space="preserve">holds the Overlay and the Library. The Library is the</w:t>
      </w:r>
      <w:r>
        <w:t xml:space="preserve"> </w:t>
      </w:r>
      <w:r>
        <w:t xml:space="preserve">preserved canon on your own disk — 2,716 texts and 8.68 million</w:t>
      </w:r>
      <w:r>
        <w:t xml:space="preserve"> </w:t>
      </w:r>
      <w:r>
        <w:t xml:space="preserve">lines of the complete ACIP Release 6, browsable as a tree that</w:t>
      </w:r>
      <w:r>
        <w:t xml:space="preserve"> </w:t>
      </w:r>
      <w:r>
        <w:t xml:space="preserve">decodes every catalog file name into its provenance, alongside your</w:t>
      </w:r>
      <w:r>
        <w:t xml:space="preserve"> </w:t>
      </w:r>
      <w:r>
        <w:t xml:space="preserve">own imported materials. Double-click any text and it opens in the</w:t>
      </w:r>
      <w:r>
        <w:t xml:space="preserve"> </w:t>
      </w:r>
      <w:r>
        <w:t xml:space="preserve">Overlay, the flagship reader. At Geshe Michael’s own direction the</w:t>
      </w:r>
      <w:r>
        <w:t xml:space="preserve"> </w:t>
      </w:r>
      <w:r>
        <w:t xml:space="preserve">text opens clean: click any word and the longest phrase the</w:t>
      </w:r>
      <w:r>
        <w:t xml:space="preserve"> </w:t>
      </w:r>
      <w:r>
        <w:t xml:space="preserve">dictionary knows there lights up — click again and it steps down,</w:t>
      </w:r>
      <w:r>
        <w:t xml:space="preserve"> </w:t>
      </w:r>
      <w:r>
        <w:t xml:space="preserve">particle by particle, to the shorter phrases within. (A coverage</w:t>
      </w:r>
      <w:r>
        <w:t xml:space="preserve"> </w:t>
      </w:r>
      <w:r>
        <w:t xml:space="preserve">view that washes every known word and phrase in color remains one</w:t>
      </w:r>
      <w:r>
        <w:t xml:space="preserve"> </w:t>
      </w:r>
      <w:r>
        <w:t xml:space="preserve">click away.) Clicking a word opens its card — the entry with its quality tier, Geshe Michael’s</w:t>
      </w:r>
      <w:r>
        <w:t xml:space="preserve"> </w:t>
      </w:r>
      <w:r>
        <w:t xml:space="preserve">actual corpus renderings course by course, reference definitions</w:t>
      </w:r>
      <w:r>
        <w:t xml:space="preserve"> </w:t>
      </w:r>
      <w:r>
        <w:t xml:space="preserve">honestly marked as references, honorific badges, community</w:t>
      </w:r>
      <w:r>
        <w:t xml:space="preserve"> </w:t>
      </w:r>
      <w:r>
        <w:t xml:space="preserve">pronunciations. Spelling that fails the classical syllable rules is</w:t>
      </w:r>
      <w:r>
        <w:t xml:space="preserve"> </w:t>
      </w:r>
      <w:r>
        <w:t xml:space="preserve">underlined in red — and can also be gathered into a small working</w:t>
      </w:r>
      <w:r>
        <w:t xml:space="preserve"> </w:t>
      </w:r>
      <w:r>
        <w:t xml:space="preserve">list of every doubted syllable, each one a click away in context, so</w:t>
      </w:r>
      <w:r>
        <w:t xml:space="preserve"> </w:t>
      </w:r>
      <w:r>
        <w:t xml:space="preserve">likely input errors can be filed for the authority’s ruling rather</w:t>
      </w:r>
      <w:r>
        <w:t xml:space="preserve"> </w:t>
      </w:r>
      <w:r>
        <w:t xml:space="preserve">than silently ignored. A particle disagreeing with its suffix gets a</w:t>
      </w:r>
      <w:r>
        <w:t xml:space="preserve"> </w:t>
      </w:r>
      <w:r>
        <w:t xml:space="preserve">gentle review mark. The text displays as Tibetan script, ACIP, or</w:t>
      </w:r>
      <w:r>
        <w:t xml:space="preserve"> </w:t>
      </w:r>
      <w:r>
        <w:t xml:space="preserve">Wylie at the reader’s choice. For texts of the Kangyur and Tengyur,</w:t>
      </w:r>
      <w:r>
        <w:t xml:space="preserve"> </w:t>
      </w:r>
      <w:r>
        <w:t xml:space="preserve">one more button appears:</w:t>
      </w:r>
      <w:r>
        <w:t xml:space="preserve"> </w:t>
      </w:r>
      <w:r>
        <w:rPr>
          <w:i/>
          <w:iCs/>
        </w:rPr>
        <w:t xml:space="preserve">Follow along in scans</w:t>
      </w:r>
      <w:r>
        <w:t xml:space="preserve"> </w:t>
      </w:r>
      <w:r>
        <w:t xml:space="preserve">— the original</w:t>
      </w:r>
      <w:r>
        <w:t xml:space="preserve"> </w:t>
      </w:r>
      <w:r>
        <w:t xml:space="preserve">woodblock page images, served from the Buddhist Digital Resource</w:t>
      </w:r>
      <w:r>
        <w:t xml:space="preserve"> </w:t>
      </w:r>
      <w:r>
        <w:t xml:space="preserve">Center’s public archive, display beneath the text and turn their</w:t>
      </w:r>
      <w:r>
        <w:t xml:space="preserve"> </w:t>
      </w:r>
      <w:r>
        <w:t xml:space="preserve">own pages as the cursor moves. The student sits with the digital</w:t>
      </w:r>
      <w:r>
        <w:t xml:space="preserve"> </w:t>
      </w:r>
      <w:r>
        <w:t xml:space="preserve">text and the actual carving of it — anywhere on earth.</w:t>
      </w:r>
    </w:p>
    <w:p>
      <w:pPr>
        <w:pStyle w:val="BodyText"/>
      </w:pPr>
      <w:r>
        <w:rPr>
          <w:b/>
          <w:bCs/>
        </w:rPr>
        <w:t xml:space="preserve">Translate</w:t>
      </w:r>
      <w:r>
        <w:t xml:space="preserve"> </w:t>
      </w:r>
      <w:r>
        <w:t xml:space="preserve">holds the Manuscript, the Draft bench, the Review</w:t>
      </w:r>
      <w:r>
        <w:t xml:space="preserve"> </w:t>
      </w:r>
      <w:r>
        <w:t xml:space="preserve">pane, and Align. The Manuscript is the writing surface itself — a</w:t>
      </w:r>
      <w:r>
        <w:t xml:space="preserve"> </w:t>
      </w:r>
      <w:r>
        <w:t xml:space="preserve">rich-text editor with the Gofer corpus search in a sidebar, so the</w:t>
      </w:r>
      <w:r>
        <w:t xml:space="preserve"> </w:t>
      </w:r>
      <w:r>
        <w:t xml:space="preserve">master’s attested English is one keystroke away while writing.</w:t>
      </w:r>
      <w:r>
        <w:t xml:space="preserve"> </w:t>
      </w:r>
      <w:r>
        <w:t xml:space="preserve">In Draft, the source text splits into clauses; each clause shows</w:t>
      </w:r>
      <w:r>
        <w:t xml:space="preserve"> </w:t>
      </w:r>
      <w:r>
        <w:t xml:space="preserve">its established terms banded in color, with each term’s English</w:t>
      </w:r>
      <w:r>
        <w:t xml:space="preserve"> </w:t>
      </w:r>
      <w:r>
        <w:t xml:space="preserve">chipped in the same color, so which English goes with which Tibetan</w:t>
      </w:r>
      <w:r>
        <w:t xml:space="preserve"> </w:t>
      </w:r>
      <w:r>
        <w:t xml:space="preserve">reads at a glance. Every term opens a full corpus concordance. One</w:t>
      </w:r>
      <w:r>
        <w:t xml:space="preserve"> </w:t>
      </w:r>
      <w:r>
        <w:t xml:space="preserve">button checks the finished terminology — terms missing from the</w:t>
      </w:r>
      <w:r>
        <w:t xml:space="preserve"> </w:t>
      </w:r>
      <w:r>
        <w:t xml:space="preserve">draft, one term rendered two ways, drafts leaning on provisional</w:t>
      </w:r>
      <w:r>
        <w:t xml:space="preserve"> </w:t>
      </w:r>
      <w:r>
        <w:t xml:space="preserve">glosses — flagged for review, never auto-corrected. The bench also</w:t>
      </w:r>
      <w:r>
        <w:t xml:space="preserve"> </w:t>
      </w:r>
      <w:r>
        <w:t xml:space="preserve">carries the published apparatus (section 5), outline and verse</w:t>
      </w:r>
      <w:r>
        <w:t xml:space="preserve"> </w:t>
      </w:r>
      <w:r>
        <w:t xml:space="preserve">tools, and export to a formatted rich-text file. Review is for the</w:t>
      </w:r>
      <w:r>
        <w:t xml:space="preserve"> </w:t>
      </w:r>
      <w:r>
        <w:t xml:space="preserve">senior translator checking someone else’s draft: source on the</w:t>
      </w:r>
      <w:r>
        <w:t xml:space="preserve"> </w:t>
      </w:r>
      <w:r>
        <w:t xml:space="preserve">left, English on the right, and a report of advisories — register</w:t>
      </w:r>
      <w:r>
        <w:t xml:space="preserve"> </w:t>
      </w:r>
      <w:r>
        <w:t xml:space="preserve">warnings, honorific cautions, provisional-gloss flags — guidance,</w:t>
      </w:r>
      <w:r>
        <w:t xml:space="preserve"> </w:t>
      </w:r>
      <w:r>
        <w:t xml:space="preserve">never verdicts. Align is the Project’s original Hypercontext</w:t>
      </w:r>
      <w:r>
        <w:t xml:space="preserve"> </w:t>
      </w:r>
      <w:r>
        <w:t xml:space="preserve">workflow reborn: click a Tibetan word, select its English, link the</w:t>
      </w:r>
      <w:r>
        <w:t xml:space="preserve"> </w:t>
      </w:r>
      <w:r>
        <w:t xml:space="preserve">pair — building tomorrow’s dictionary from translator-authored</w:t>
      </w:r>
      <w:r>
        <w:t xml:space="preserve"> </w:t>
      </w:r>
      <w:r>
        <w:t xml:space="preserve">attestations, always labeled PENDING until approved.</w:t>
      </w:r>
    </w:p>
    <w:p>
      <w:pPr>
        <w:pStyle w:val="BodyText"/>
      </w:pPr>
      <w:r>
        <w:rPr>
          <w:b/>
          <w:bCs/>
        </w:rPr>
        <w:t xml:space="preserve">Research</w:t>
      </w:r>
      <w:r>
        <w:t xml:space="preserve"> </w:t>
      </w:r>
      <w:r>
        <w:t xml:space="preserve">holds Search, Lookup, Sanskrit, Convert, and Analysis.</w:t>
      </w:r>
      <w:r>
        <w:t xml:space="preserve"> </w:t>
      </w:r>
      <w:r>
        <w:t xml:space="preserve">Search is Gofer — the tool Geshe Michael has used to search his</w:t>
      </w:r>
      <w:r>
        <w:t xml:space="preserve"> </w:t>
      </w:r>
      <w:r>
        <w:t xml:space="preserve">library every day for decades — rebuilt inside with the same</w:t>
      </w:r>
      <w:r>
        <w:t xml:space="preserve"> </w:t>
      </w:r>
      <w:r>
        <w:t xml:space="preserve">algorithms and its original layout: exact terms, OR, AND, and</w:t>
      </w:r>
      <w:r>
        <w:t xml:space="preserve"> </w:t>
      </w:r>
      <w:r>
        <w:t xml:space="preserve">NEAR-within-N-lines, over the aligned corpus, the published</w:t>
      </w:r>
      <w:r>
        <w:t xml:space="preserve"> </w:t>
      </w:r>
      <w:r>
        <w:t xml:space="preserve">apparatus (all 2,234 footnotes and 705 bibliography entries), and</w:t>
      </w:r>
      <w:r>
        <w:t xml:space="preserve"> </w:t>
      </w:r>
      <w:r>
        <w:t xml:space="preserve">any folders on disk. Lookup is the stacked multi-dictionary: his</w:t>
      </w:r>
      <w:r>
        <w:t xml:space="preserve"> </w:t>
      </w:r>
      <w:r>
        <w:t xml:space="preserve">entry first and binding, then each reference layer labeled, with</w:t>
      </w:r>
      <w:r>
        <w:t xml:space="preserve"> </w:t>
      </w:r>
      <w:r>
        <w:t xml:space="preserve">English-to-Tibetan reverse lookup and traditional Tibetan-order</w:t>
      </w:r>
      <w:r>
        <w:t xml:space="preserve"> </w:t>
      </w:r>
      <w:r>
        <w:t xml:space="preserve">browsing. Sanskrit is a whole workbench: enter IAST, Devanagari, or</w:t>
      </w:r>
      <w:r>
        <w:t xml:space="preserve"> </w:t>
      </w:r>
      <w:r>
        <w:t xml:space="preserve">ACIP input-code and receive the full cascade of scripts plus</w:t>
      </w:r>
      <w:r>
        <w:t xml:space="preserve"> </w:t>
      </w:r>
      <w:r>
        <w:t xml:space="preserve">Whitney’s root analyses and the Mahāvyutpatti bridge to classical</w:t>
      </w:r>
      <w:r>
        <w:t xml:space="preserve"> </w:t>
      </w:r>
      <w:r>
        <w:t xml:space="preserve">Tibetan. Convert renders any input in every writing system at once</w:t>
      </w:r>
      <w:r>
        <w:t xml:space="preserve"> </w:t>
      </w:r>
      <w:r>
        <w:t xml:space="preserve">— and answers the translator’s dating questions through a full</w:t>
      </w:r>
      <w:r>
        <w:t xml:space="preserve"> </w:t>
      </w:r>
      <w:r>
        <w:t xml:space="preserve">traditional Tibetan calendar. Analysis produces an</w:t>
      </w:r>
      <w:r>
        <w:t xml:space="preserve"> </w:t>
      </w:r>
      <w:r>
        <w:t xml:space="preserve">eighteen-section grammatical analysis of a passage: the</w:t>
      </w:r>
      <w:r>
        <w:t xml:space="preserve"> </w:t>
      </w:r>
      <w:r>
        <w:t xml:space="preserve">deterministic engine extracts everything verifiable first, an AI</w:t>
      </w:r>
      <w:r>
        <w:t xml:space="preserve"> </w:t>
      </w:r>
      <w:r>
        <w:t xml:space="preserve">model writes the report, and the machine re-checks every quotation</w:t>
      </w:r>
      <w:r>
        <w:t xml:space="preserve"> </w:t>
      </w:r>
      <w:r>
        <w:t xml:space="preserve">— with the output banner-labeled as AI, always.</w:t>
      </w:r>
    </w:p>
    <w:p>
      <w:pPr>
        <w:pStyle w:val="BodyText"/>
      </w:pPr>
      <w:r>
        <w:rPr>
          <w:b/>
          <w:bCs/>
        </w:rPr>
        <w:t xml:space="preserve">Learn</w:t>
      </w:r>
      <w:r>
        <w:t xml:space="preserve"> </w:t>
      </w:r>
      <w:r>
        <w:t xml:space="preserve">holds the Trainer and the Drills. The Trainer teaches</w:t>
      </w:r>
      <w:r>
        <w:t xml:space="preserve"> </w:t>
      </w:r>
      <w:r>
        <w:t xml:space="preserve">reading layer by layer: the student attempts a passage bare, then</w:t>
      </w:r>
      <w:r>
        <w:t xml:space="preserve"> </w:t>
      </w:r>
      <w:r>
        <w:t xml:space="preserve">reveals clause boundaries, each particle’s grammatical role, the</w:t>
      </w:r>
      <w:r>
        <w:t xml:space="preserve"> </w:t>
      </w:r>
      <w:r>
        <w:t xml:space="preserve">suggested reading order (find the verb first), vocabulary, the</w:t>
      </w:r>
      <w:r>
        <w:t xml:space="preserve"> </w:t>
      </w:r>
      <w:r>
        <w:t xml:space="preserve">answer key — Geshe Michael’s own English wherever the passage</w:t>
      </w:r>
      <w:r>
        <w:t xml:space="preserve"> </w:t>
      </w:r>
      <w:r>
        <w:t xml:space="preserve">exists in his corpus — and finally the complete grammatical parse</w:t>
      </w:r>
      <w:r>
        <w:t xml:space="preserve"> </w:t>
      </w:r>
      <w:r>
        <w:t xml:space="preserve">in the system of Wilson’s</w:t>
      </w:r>
      <w:r>
        <w:t xml:space="preserve"> </w:t>
      </w:r>
      <w:r>
        <w:rPr>
          <w:i/>
          <w:iCs/>
        </w:rPr>
        <w:t xml:space="preserve">Translating Buddhism from Tibetan</w:t>
      </w:r>
      <w:r>
        <w:t xml:space="preserve">,</w:t>
      </w:r>
      <w:r>
        <w:t xml:space="preserve"> </w:t>
      </w:r>
      <w:r>
        <w:t xml:space="preserve">down to a designation for every syllable-separating dot. The</w:t>
      </w:r>
      <w:r>
        <w:t xml:space="preserve"> </w:t>
      </w:r>
      <w:r>
        <w:t xml:space="preserve">Drills write themselves from the corpus, so every answer is the</w:t>
      </w:r>
      <w:r>
        <w:t xml:space="preserve"> </w:t>
      </w:r>
      <w:r>
        <w:t xml:space="preserve">master’s own text: unscramble a clause, fill the blank given his</w:t>
      </w:r>
      <w:r>
        <w:t xml:space="preserve"> </w:t>
      </w:r>
      <w:r>
        <w:t xml:space="preserve">English, choose the correct particle, read a course in parallel,</w:t>
      </w:r>
      <w:r>
        <w:t xml:space="preserve"> </w:t>
      </w:r>
      <w:r>
        <w:t xml:space="preserve">review vocabulary on a spaced schedule. The app quietly adapts to</w:t>
      </w:r>
      <w:r>
        <w:t xml:space="preserve"> </w:t>
      </w:r>
      <w:r>
        <w:t xml:space="preserve">the learner, naming missed skills and choosing material near their</w:t>
      </w:r>
      <w:r>
        <w:t xml:space="preserve"> </w:t>
      </w:r>
      <w:r>
        <w:t xml:space="preserve">level.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 </w:t>
      </w:r>
      <w:r>
        <w:t xml:space="preserve">holds the Input workstation and the Scan pane — the</w:t>
      </w:r>
      <w:r>
        <w:t xml:space="preserve"> </w:t>
      </w:r>
      <w:r>
        <w:t xml:space="preserve">software the input centers were meant to have. Input is the ACE</w:t>
      </w:r>
      <w:r>
        <w:t xml:space="preserve"> </w:t>
      </w:r>
      <w:r>
        <w:t xml:space="preserve">lineage recovered from its original author and rebuilt: the page</w:t>
      </w:r>
      <w:r>
        <w:t xml:space="preserve"> </w:t>
      </w:r>
      <w:r>
        <w:t xml:space="preserve">scan above, the typing area below, the scan following the typist’s</w:t>
      </w:r>
      <w:r>
        <w:t xml:space="preserve"> </w:t>
      </w:r>
      <w:r>
        <w:t xml:space="preserve">cursor line by line; illegal syllables underline in red as they are</w:t>
      </w:r>
      <w:r>
        <w:t xml:space="preserve"> </w:t>
      </w:r>
      <w:r>
        <w:t xml:space="preserve">typed, and the double-keying discipline is built in — compare your</w:t>
      </w:r>
      <w:r>
        <w:t xml:space="preserve"> </w:t>
      </w:r>
      <w:r>
        <w:t xml:space="preserve">file against your partner’s, and every discrepancy lights up to be</w:t>
      </w:r>
      <w:r>
        <w:t xml:space="preserve"> </w:t>
      </w:r>
      <w:r>
        <w:t xml:space="preserve">corrected until the two match exactly. Scan is Tibetan text</w:t>
      </w:r>
      <w:r>
        <w:t xml:space="preserve"> </w:t>
      </w:r>
      <w:r>
        <w:t xml:space="preserve">recognition, embedded and proven: BDRC’s open recognition models</w:t>
      </w:r>
      <w:r>
        <w:t xml:space="preserve"> </w:t>
      </w:r>
      <w:r>
        <w:t xml:space="preserve">run locally on a page image or a whole scanned volume, and every</w:t>
      </w:r>
      <w:r>
        <w:t xml:space="preserve"> </w:t>
      </w:r>
      <w:r>
        <w:t xml:space="preserve">line of output is banner-marked as unverified review material that</w:t>
      </w:r>
      <w:r>
        <w:t xml:space="preserve"> </w:t>
      </w:r>
      <w:r>
        <w:t xml:space="preserve">never enters the corpus — nothing is smoothed, everything is</w:t>
      </w:r>
      <w:r>
        <w:t xml:space="preserve"> </w:t>
      </w:r>
      <w:r>
        <w:t xml:space="preserve">flagged.</w:t>
      </w:r>
    </w:p>
    <w:p>
      <w:pPr>
        <w:pStyle w:val="BodyText"/>
      </w:pPr>
      <w:r>
        <w:rPr>
          <w:b/>
          <w:bCs/>
        </w:rPr>
        <w:t xml:space="preserve">Community</w:t>
      </w:r>
      <w:r>
        <w:t xml:space="preserve"> </w:t>
      </w:r>
      <w:r>
        <w:t xml:space="preserve">holds Propose and Approval — the living half of the</w:t>
      </w:r>
      <w:r>
        <w:t xml:space="preserve"> </w:t>
      </w:r>
      <w:r>
        <w:t xml:space="preserve">design, described next.</w:t>
      </w:r>
    </w:p>
    <w:bookmarkEnd w:id="11"/>
    <w:bookmarkStart w:id="12" w:name="the-community-model-propose-approval"/>
    <w:p>
      <w:pPr>
        <w:pStyle w:val="Heading2"/>
      </w:pPr>
      <w:r>
        <w:t xml:space="preserve">4. The community model: Propose → Approval</w:t>
      </w:r>
    </w:p>
    <w:p>
      <w:pPr>
        <w:pStyle w:val="FirstParagraph"/>
      </w:pPr>
      <w:r>
        <w:t xml:space="preserve">A dictionary of a living teaching lineage cannot be frozen, and it</w:t>
      </w:r>
      <w:r>
        <w:t xml:space="preserve"> </w:t>
      </w:r>
      <w:r>
        <w:t xml:space="preserve">cannot be a free-for-all. The tool resolves this with one simple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Anyone on the team can</w:t>
      </w:r>
      <w:r>
        <w:t xml:space="preserve"> </w:t>
      </w:r>
      <w:r>
        <w:rPr>
          <w:b/>
          <w:bCs/>
        </w:rPr>
        <w:t xml:space="preserve">propose</w:t>
      </w:r>
      <w:r>
        <w:t xml:space="preserve">: a pronunciation, an honorific</w:t>
      </w:r>
      <w:r>
        <w:t xml:space="preserve"> </w:t>
      </w:r>
      <w:r>
        <w:t xml:space="preserve">marking, an abbreviation, a word or phrase rendering, a note — or a</w:t>
      </w:r>
      <w:r>
        <w:t xml:space="preserve"> </w:t>
      </w:r>
      <w:r>
        <w:t xml:space="preserve">doubted spelling the software’s own legality rules have flagged as a</w:t>
      </w:r>
      <w:r>
        <w:t xml:space="preserve"> </w:t>
      </w:r>
      <w:r>
        <w:t xml:space="preserve">likely input error. When the authority confirms a spelling error it</w:t>
      </w:r>
      <w:r>
        <w:t xml:space="preserve"> </w:t>
      </w:r>
      <w:r>
        <w:t xml:space="preserve">is exported for the input teams to correct at the source (the app</w:t>
      </w:r>
      <w:r>
        <w:t xml:space="preserve"> </w:t>
      </w:r>
      <w:r>
        <w:t xml:space="preserve">never edits the texts); when the authority rules the form valid, the</w:t>
      </w:r>
      <w:r>
        <w:t xml:space="preserve"> </w:t>
      </w:r>
      <w:r>
        <w:t xml:space="preserve">software stops doubting it — everywhere, for the whole team.</w:t>
      </w:r>
      <w:r>
        <w:t xml:space="preserve"> </w:t>
      </w:r>
      <w:r>
        <w:t xml:space="preserve">Proposals file from the Propose pane or straight from any entry</w:t>
      </w:r>
      <w:r>
        <w:t xml:space="preserve"> </w:t>
      </w:r>
      <w:r>
        <w:t xml:space="preserve">card, with the passage in question automatically attached as</w:t>
      </w:r>
      <w:r>
        <w:t xml:space="preserve"> </w:t>
      </w:r>
      <w:r>
        <w:t xml:space="preserve">evidence, and each proposal carries its proposer’s name for</w:t>
      </w:r>
      <w:r>
        <w:t xml:space="preserve"> </w:t>
      </w:r>
      <w:r>
        <w:t xml:space="preserve">provenance. Proposals wait in a clearly-marked pending queue — and</w:t>
      </w:r>
      <w:r>
        <w:t xml:space="preserve"> </w:t>
      </w:r>
      <w:r>
        <w:t xml:space="preserve">there is deliberately no shortcut around it.</w:t>
      </w:r>
    </w:p>
    <w:p>
      <w:pPr>
        <w:pStyle w:val="BodyText"/>
      </w:pPr>
      <w:r>
        <w:t xml:space="preserve">Every proposal then comes to the</w:t>
      </w:r>
      <w:r>
        <w:t xml:space="preserve"> </w:t>
      </w:r>
      <w:r>
        <w:rPr>
          <w:b/>
          <w:bCs/>
        </w:rPr>
        <w:t xml:space="preserve">authority’s</w:t>
      </w:r>
      <w:r>
        <w:t xml:space="preserve"> </w:t>
      </w:r>
      <w:r>
        <w:t xml:space="preserve">queue in the</w:t>
      </w:r>
      <w:r>
        <w:t xml:space="preserve"> </w:t>
      </w:r>
      <w:r>
        <w:t xml:space="preserve">Approval pane, where each item appears with its evidence, its</w:t>
      </w:r>
      <w:r>
        <w:t xml:space="preserve"> </w:t>
      </w:r>
      <w:r>
        <w:t xml:space="preserve">source citation, and its proposer, to be ruled on one by one:</w:t>
      </w:r>
      <w:r>
        <w:t xml:space="preserve"> </w:t>
      </w:r>
      <w:r>
        <w:t xml:space="preserve">approve, decline, or defer, each with an optional note. When the</w:t>
      </w:r>
      <w:r>
        <w:t xml:space="preserve"> </w:t>
      </w:r>
      <w:r>
        <w:t xml:space="preserve">authority approves a register item, it becomes part of the app</w:t>
      </w:r>
      <w:r>
        <w:t xml:space="preserve"> </w:t>
      </w:r>
      <w:r>
        <w:t xml:space="preserve">immediately — stamped with who approved it and when — for every</w:t>
      </w:r>
      <w:r>
        <w:t xml:space="preserve"> </w:t>
      </w:r>
      <w:r>
        <w:t xml:space="preserve">student, everywhere. Dictionary proposals are exported to the data</w:t>
      </w:r>
      <w:r>
        <w:t xml:space="preserve"> </w:t>
      </w:r>
      <w:r>
        <w:t xml:space="preserve">project rather than applied directly, because the app never edits</w:t>
      </w:r>
      <w:r>
        <w:t xml:space="preserve"> </w:t>
      </w:r>
      <w:r>
        <w:t xml:space="preserve">the master data. A permanent rulings archive records every</w:t>
      </w:r>
      <w:r>
        <w:t xml:space="preserve"> </w:t>
      </w:r>
      <w:r>
        <w:t xml:space="preserve">decision.</w:t>
      </w:r>
    </w:p>
    <w:p>
      <w:pPr>
        <w:pStyle w:val="BodyText"/>
      </w:pPr>
      <w:r>
        <w:t xml:space="preserve">His judgment is the binding layer. That is the whole design.</w:t>
      </w:r>
    </w:p>
    <w:p>
      <w:pPr>
        <w:pStyle w:val="BodyText"/>
      </w:pPr>
      <w:r>
        <w:t xml:space="preserve">The same discipline governs the published apparatus: Geshe Michael</w:t>
      </w:r>
      <w:r>
        <w:t xml:space="preserve"> </w:t>
      </w:r>
      <w:r>
        <w:t xml:space="preserve">has directed that footnotes created in the released translations</w:t>
      </w:r>
      <w:r>
        <w:t xml:space="preserve"> </w:t>
      </w:r>
      <w:r>
        <w:t xml:space="preserve">can and should be reused as the same topics recur. The official</w:t>
      </w:r>
      <w:r>
        <w:t xml:space="preserve"> </w:t>
      </w:r>
      <w:r>
        <w:t xml:space="preserve">apparatus therefore contains only what has been published and fully</w:t>
      </w:r>
      <w:r>
        <w:t xml:space="preserve"> </w:t>
      </w:r>
      <w:r>
        <w:t xml:space="preserve">approved; every reuse carries its source citation so borrowed</w:t>
      </w:r>
      <w:r>
        <w:t xml:space="preserve"> </w:t>
      </w:r>
      <w:r>
        <w:t xml:space="preserve">scholarship stays attributed; and notes a translator proposes along</w:t>
      </w:r>
      <w:r>
        <w:t xml:space="preserve"> </w:t>
      </w:r>
      <w:r>
        <w:t xml:space="preserve">the way wait in the pending queue. There is no</w:t>
      </w:r>
      <w:r>
        <w:t xml:space="preserve"> </w:t>
      </w:r>
      <w:r>
        <w:t xml:space="preserve">“approve”</w:t>
      </w:r>
      <w:r>
        <w:t xml:space="preserve"> </w:t>
      </w:r>
      <w:r>
        <w:t xml:space="preserve">button for</w:t>
      </w:r>
      <w:r>
        <w:t xml:space="preserve"> </w:t>
      </w:r>
      <w:r>
        <w:t xml:space="preserve">scholarship in the software, because approval is an act of the</w:t>
      </w:r>
      <w:r>
        <w:t xml:space="preserve"> </w:t>
      </w:r>
      <w:r>
        <w:t xml:space="preserve">publishing process, not of the app.</w:t>
      </w:r>
    </w:p>
    <w:bookmarkEnd w:id="12"/>
    <w:bookmarkStart w:id="13" w:name="work-performed-once-is-never-redone"/>
    <w:p>
      <w:pPr>
        <w:pStyle w:val="Heading2"/>
      </w:pPr>
      <w:r>
        <w:t xml:space="preserve">5. Work performed once is never redone</w:t>
      </w:r>
    </w:p>
    <w:p>
      <w:pPr>
        <w:pStyle w:val="FirstParagraph"/>
      </w:pPr>
      <w:r>
        <w:t xml:space="preserve">The published apparatus — 2,234 footnotes and 705 bibliography</w:t>
      </w:r>
      <w:r>
        <w:t xml:space="preserve"> </w:t>
      </w:r>
      <w:r>
        <w:t xml:space="preserve">entries — is searchable from one box and reusable with one click,</w:t>
      </w:r>
      <w:r>
        <w:t xml:space="preserve"> </w:t>
      </w:r>
      <w:r>
        <w:t xml:space="preserve">citation attached. A bibliography composer assembles new entries in</w:t>
      </w:r>
      <w:r>
        <w:t xml:space="preserve"> </w:t>
      </w:r>
      <w:r>
        <w:t xml:space="preserve">the house format exactly, filling itself in from the Project’s own</w:t>
      </w:r>
      <w:r>
        <w:t xml:space="preserve"> </w:t>
      </w:r>
      <w:r>
        <w:t xml:space="preserve">catalog for 1,846 known works by their ACIP number. And when the</w:t>
      </w:r>
      <w:r>
        <w:t xml:space="preserve"> </w:t>
      </w:r>
      <w:r>
        <w:t xml:space="preserve">text being translated quotes a work that exists in the corpus, the</w:t>
      </w:r>
      <w:r>
        <w:t xml:space="preserve"> </w:t>
      </w:r>
      <w:r>
        <w:t xml:space="preserve">app finds the quotation, shows how the master already rendered</w:t>
      </w:r>
      <w:r>
        <w:t xml:space="preserve"> </w:t>
      </w:r>
      <w:r>
        <w:t xml:space="preserve">those lines, and offers the published bibliography entry and any</w:t>
      </w:r>
      <w:r>
        <w:t xml:space="preserve"> </w:t>
      </w:r>
      <w:r>
        <w:t xml:space="preserve">published footnotes on that passage. A detected quotation, its</w:t>
      </w:r>
      <w:r>
        <w:t xml:space="preserve"> </w:t>
      </w:r>
      <w:r>
        <w:t xml:space="preserve">citation, its bibliography entry, and the original woodblock scans</w:t>
      </w:r>
      <w:r>
        <w:t xml:space="preserve"> </w:t>
      </w:r>
      <w:r>
        <w:t xml:space="preserve">all connect to one another through one deterministic chain.</w:t>
      </w:r>
    </w:p>
    <w:bookmarkEnd w:id="13"/>
    <w:bookmarkStart w:id="14" w:name="offline-first-and-why-that-matters"/>
    <w:p>
      <w:pPr>
        <w:pStyle w:val="Heading2"/>
      </w:pPr>
      <w:r>
        <w:t xml:space="preserve">6. Offline first — and why that matters</w:t>
      </w:r>
    </w:p>
    <w:p>
      <w:pPr>
        <w:pStyle w:val="FirstParagraph"/>
      </w:pPr>
      <w:r>
        <w:t xml:space="preserve">Everything essential runs on the user’s own machine, with no</w:t>
      </w:r>
      <w:r>
        <w:t xml:space="preserve"> </w:t>
      </w:r>
      <w:r>
        <w:t xml:space="preserve">account, no server, and no subscription. The complete canon, the</w:t>
      </w:r>
      <w:r>
        <w:t xml:space="preserve"> </w:t>
      </w:r>
      <w:r>
        <w:t xml:space="preserve">dictionary, the corpus, the search index, the conversion engines,</w:t>
      </w:r>
      <w:r>
        <w:t xml:space="preserve"> </w:t>
      </w:r>
      <w:r>
        <w:t xml:space="preserve">the grammar engine, even the text recognition — all local. Exactly</w:t>
      </w:r>
      <w:r>
        <w:t xml:space="preserve"> </w:t>
      </w:r>
      <w:r>
        <w:t xml:space="preserve">two features reach the network, and both say so plainly: the</w:t>
      </w:r>
      <w:r>
        <w:t xml:space="preserve"> </w:t>
      </w:r>
      <w:r>
        <w:t xml:space="preserve">Analysis pane’s AI-written report, and the woodblock images served</w:t>
      </w:r>
      <w:r>
        <w:t xml:space="preserve"> </w:t>
      </w:r>
      <w:r>
        <w:t xml:space="preserve">from BDRC’s public archive (which are cached, so a text revisited</w:t>
      </w:r>
      <w:r>
        <w:t xml:space="preserve"> </w:t>
      </w:r>
      <w:r>
        <w:t xml:space="preserve">costs nothing).</w:t>
      </w:r>
    </w:p>
    <w:p>
      <w:pPr>
        <w:pStyle w:val="BodyText"/>
      </w:pPr>
      <w:r>
        <w:t xml:space="preserve">This is not a technical footnote; it is a commitment. The tool must</w:t>
      </w:r>
      <w:r>
        <w:t xml:space="preserve"> </w:t>
      </w:r>
      <w:r>
        <w:t xml:space="preserve">work in a monastery in Nepal exactly as it works in New York. Input</w:t>
      </w:r>
      <w:r>
        <w:t xml:space="preserve"> </w:t>
      </w:r>
      <w:r>
        <w:t xml:space="preserve">centers with unreliable connections must be able to type, check,</w:t>
      </w:r>
      <w:r>
        <w:t xml:space="preserve"> </w:t>
      </w:r>
      <w:r>
        <w:t xml:space="preserve">and compare all day. A translator’s drafts, glossaries, and study</w:t>
      </w:r>
      <w:r>
        <w:t xml:space="preserve"> </w:t>
      </w:r>
      <w:r>
        <w:t xml:space="preserve">progress belong to the translator, on the translator’s disk. And a</w:t>
      </w:r>
      <w:r>
        <w:t xml:space="preserve"> </w:t>
      </w:r>
      <w:r>
        <w:t xml:space="preserve">library that took forty years to type should never depend on</w:t>
      </w:r>
      <w:r>
        <w:t xml:space="preserve"> </w:t>
      </w:r>
      <w:r>
        <w:t xml:space="preserve">someone else’s server staying up.</w:t>
      </w:r>
    </w:p>
    <w:bookmarkEnd w:id="14"/>
    <w:bookmarkStart w:id="15" w:name="provenance-and-honesty-as-design-values"/>
    <w:p>
      <w:pPr>
        <w:pStyle w:val="Heading2"/>
      </w:pPr>
      <w:r>
        <w:t xml:space="preserve">7. Provenance and honesty as design values</w:t>
      </w:r>
    </w:p>
    <w:p>
      <w:pPr>
        <w:pStyle w:val="FirstParagraph"/>
      </w:pPr>
      <w:r>
        <w:t xml:space="preserve">Three commitments run through every pane:</w:t>
      </w:r>
    </w:p>
    <w:p>
      <w:pPr>
        <w:pStyle w:val="BodyText"/>
      </w:pPr>
      <w:r>
        <w:rPr>
          <w:b/>
          <w:bCs/>
        </w:rPr>
        <w:t xml:space="preserve">The tool never guesses.</w:t>
      </w:r>
      <w:r>
        <w:t xml:space="preserve"> </w:t>
      </w:r>
      <w:r>
        <w:t xml:space="preserve">When a conversion or an analysis cannot</w:t>
      </w:r>
      <w:r>
        <w:t xml:space="preserve"> </w:t>
      </w:r>
      <w:r>
        <w:t xml:space="preserve">be completed with certainty, the app flags the place and says so —</w:t>
      </w:r>
      <w:r>
        <w:t xml:space="preserve"> </w:t>
      </w:r>
      <w:r>
        <w:t xml:space="preserve">it never silently approximates. Provisional material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provisional: machine-aligned glosses carry an amber tint that is a</w:t>
      </w:r>
      <w:r>
        <w:t xml:space="preserve"> </w:t>
      </w:r>
      <w:r>
        <w:t xml:space="preserve">warning, not a decoration. AI-written output is banner-labeled as</w:t>
      </w:r>
      <w:r>
        <w:t xml:space="preserve"> </w:t>
      </w:r>
      <w:r>
        <w:t xml:space="preserve">such, always. Text recognition output is review material only,</w:t>
      </w:r>
      <w:r>
        <w:t xml:space="preserve"> </w:t>
      </w:r>
      <w:r>
        <w:t xml:space="preserve">never trusted as text. Terms with different senses in different</w:t>
      </w:r>
      <w:r>
        <w:t xml:space="preserve"> </w:t>
      </w:r>
      <w:r>
        <w:t xml:space="preserve">registers — prayer versus philosophy — carry warnings and are never</w:t>
      </w:r>
      <w:r>
        <w:t xml:space="preserve"> </w:t>
      </w:r>
      <w:r>
        <w:t xml:space="preserve">auto-resolved.</w:t>
      </w:r>
    </w:p>
    <w:p>
      <w:pPr>
        <w:pStyle w:val="BodyText"/>
      </w:pPr>
      <w:r>
        <w:rPr>
          <w:b/>
          <w:bCs/>
        </w:rPr>
        <w:t xml:space="preserve">Provenance is preserved.</w:t>
      </w:r>
      <w:r>
        <w:t xml:space="preserve"> </w:t>
      </w:r>
      <w:r>
        <w:t xml:space="preserve">Everything machine-derived says so;</w:t>
      </w:r>
      <w:r>
        <w:t xml:space="preserve"> </w:t>
      </w:r>
      <w:r>
        <w:t xml:space="preserve">every approved item carries who approved it and when; every mined</w:t>
      </w:r>
      <w:r>
        <w:t xml:space="preserve"> </w:t>
      </w:r>
      <w:r>
        <w:t xml:space="preserve">fact carries its source and page. The application imports versioned</w:t>
      </w:r>
      <w:r>
        <w:t xml:space="preserve"> </w:t>
      </w:r>
      <w:r>
        <w:t xml:space="preserve">data releases and never alters them — the dictionary project</w:t>
      </w:r>
      <w:r>
        <w:t xml:space="preserve"> </w:t>
      </w:r>
      <w:r>
        <w:t xml:space="preserve">remains the keeper of the data, and the app is its honest reader.</w:t>
      </w:r>
    </w:p>
    <w:p>
      <w:pPr>
        <w:pStyle w:val="BodyText"/>
      </w:pPr>
      <w:r>
        <w:rPr>
          <w:b/>
          <w:bCs/>
        </w:rPr>
        <w:t xml:space="preserve">Everything is proven.</w:t>
      </w:r>
      <w:r>
        <w:t xml:space="preserve"> </w:t>
      </w:r>
      <w:r>
        <w:t xml:space="preserve">Each conversion engine was first</w:t>
      </w:r>
      <w:r>
        <w:t xml:space="preserve"> </w:t>
      </w:r>
      <w:r>
        <w:t xml:space="preserve">perfected as a canonical reference implementation during the</w:t>
      </w:r>
      <w:r>
        <w:t xml:space="preserve"> </w:t>
      </w:r>
      <w:r>
        <w:t xml:space="preserve">dictionary project, then ported into the application and proven</w:t>
      </w:r>
      <w:r>
        <w:t xml:space="preserve"> </w:t>
      </w:r>
      <w:r>
        <w:t xml:space="preserve">against large validation batteries; a port that fails its battery</w:t>
      </w:r>
      <w:r>
        <w:t xml:space="preserve"> </w:t>
      </w:r>
      <w:r>
        <w:t xml:space="preserve">does not ship. The transliteration-to-Tibetan-script engine is</w:t>
      </w:r>
      <w:r>
        <w:t xml:space="preserve"> </w:t>
      </w:r>
      <w:r>
        <w:t xml:space="preserve">verified against 26,318 source-attested ground-truth pairs; the</w:t>
      </w:r>
      <w:r>
        <w:t xml:space="preserve"> </w:t>
      </w:r>
      <w:r>
        <w:t xml:space="preserve">pronunciation engine matches the canonical engine on every</w:t>
      </w:r>
      <w:r>
        <w:t xml:space="preserve"> </w:t>
      </w:r>
      <w:r>
        <w:t xml:space="preserve">dictionary headword, with 2,118 printed-card pronunciations as</w:t>
      </w:r>
      <w:r>
        <w:t xml:space="preserve"> </w:t>
      </w:r>
      <w:r>
        <w:t xml:space="preserve">ground truth; the simplified-pronunciation style reproduces 51 of</w:t>
      </w:r>
      <w:r>
        <w:t xml:space="preserve"> </w:t>
      </w:r>
      <w:r>
        <w:t xml:space="preserve">the 52 pure-Tibetan examples in the Project’s own published</w:t>
      </w:r>
      <w:r>
        <w:t xml:space="preserve"> </w:t>
      </w:r>
      <w:r>
        <w:t xml:space="preserve">standard; the traditional Tibetan calendar was proven against two</w:t>
      </w:r>
      <w:r>
        <w:t xml:space="preserve"> </w:t>
      </w:r>
      <w:r>
        <w:t xml:space="preserve">complete printed years, every month and every day. In all, the</w:t>
      </w:r>
      <w:r>
        <w:t xml:space="preserve"> </w:t>
      </w:r>
      <w:r>
        <w:t xml:space="preserve">application carries 38 automated test suites that must pass before</w:t>
      </w:r>
      <w:r>
        <w:t xml:space="preserve"> </w:t>
      </w:r>
      <w:r>
        <w:t xml:space="preserve">any change ships, and any user can run its built-in self-test — 84</w:t>
      </w:r>
      <w:r>
        <w:t xml:space="preserve"> </w:t>
      </w:r>
      <w:r>
        <w:t xml:space="preserve">checks that print pass or fail and localize any problem. Where a</w:t>
      </w:r>
      <w:r>
        <w:t xml:space="preserve"> </w:t>
      </w:r>
      <w:r>
        <w:t xml:space="preserve">result cannot be verified mechanically, the interface says so</w:t>
      </w:r>
      <w:r>
        <w:t xml:space="preserve"> </w:t>
      </w:r>
      <w:r>
        <w:t xml:space="preserve">rather than implying certainty.</w:t>
      </w:r>
    </w:p>
    <w:bookmarkEnd w:id="15"/>
    <w:bookmarkStart w:id="16" w:name="what-comes-next"/>
    <w:p>
      <w:pPr>
        <w:pStyle w:val="Heading2"/>
      </w:pPr>
      <w:r>
        <w:t xml:space="preserve">8. What comes next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registers grow under review.</w:t>
      </w:r>
      <w:r>
        <w:t xml:space="preserve"> </w:t>
      </w:r>
      <w:r>
        <w:t xml:space="preserve">A class of</w:t>
      </w:r>
      <w:r>
        <w:t xml:space="preserve"> </w:t>
      </w:r>
      <w:r>
        <w:t xml:space="preserve">pronunciation forms derived from Geshe Michael’s own teaching</w:t>
      </w:r>
      <w:r>
        <w:t xml:space="preserve"> </w:t>
      </w:r>
      <w:r>
        <w:t xml:space="preserve">awaits his confirmation through the Approval queue, along with</w:t>
      </w:r>
      <w:r>
        <w:t xml:space="preserve"> </w:t>
      </w:r>
      <w:r>
        <w:t xml:space="preserve">high-honorific markings — every item carrying its evidence and</w:t>
      </w:r>
      <w:r>
        <w:t xml:space="preserve"> </w:t>
      </w:r>
      <w:r>
        <w:t xml:space="preserve">citation.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translation standards compile.</w:t>
      </w:r>
      <w:r>
        <w:t xml:space="preserve"> </w:t>
      </w:r>
      <w:r>
        <w:t xml:space="preserve">Sourced standards mined</w:t>
      </w:r>
      <w:r>
        <w:t xml:space="preserve"> </w:t>
      </w:r>
      <w:r>
        <w:t xml:space="preserve">from the published volumes’ own notes and prefaces are being</w:t>
      </w:r>
      <w:r>
        <w:t xml:space="preserve"> </w:t>
      </w:r>
      <w:r>
        <w:t xml:space="preserve">gathered, several already running as software features, with a</w:t>
      </w:r>
      <w:r>
        <w:t xml:space="preserve"> </w:t>
      </w:r>
      <w:r>
        <w:t xml:space="preserve">prepared review sheet so proposed footnotes can be approved in</w:t>
      </w:r>
      <w:r>
        <w:t xml:space="preserve"> </w:t>
      </w:r>
      <w:r>
        <w:t xml:space="preserve">Geshe Michael’s own sessions — never in the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input-center formatter.</w:t>
      </w:r>
      <w:r>
        <w:t xml:space="preserve"> </w:t>
      </w:r>
      <w:r>
        <w:t xml:space="preserve">Converting raw input-center</w:t>
      </w:r>
      <w:r>
        <w:t xml:space="preserve"> </w:t>
      </w:r>
      <w:r>
        <w:t xml:space="preserve">documents to finished publication-ready Tibetan, once the</w:t>
      </w:r>
      <w:r>
        <w:t xml:space="preserve"> </w:t>
      </w:r>
      <w:r>
        <w:t xml:space="preserve">conversion standards document is supplied; the Input pane already</w:t>
      </w:r>
      <w:r>
        <w:t xml:space="preserve"> </w:t>
      </w:r>
      <w:r>
        <w:t xml:space="preserve">carries the typing, checking, and double-keying half of that</w:t>
      </w:r>
      <w:r>
        <w:t xml:space="preserve"> </w:t>
      </w:r>
      <w:r>
        <w:t xml:space="preserve">workflow.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ruling on catalog titles.</w:t>
      </w:r>
      <w:r>
        <w:t xml:space="preserve"> </w:t>
      </w:r>
      <w:r>
        <w:t xml:space="preserve">Whether the master catalogs’</w:t>
      </w:r>
      <w:r>
        <w:t xml:space="preserve"> </w:t>
      </w:r>
      <w:r>
        <w:t xml:space="preserve">English titles stand as Geshe Michael’s own binding equivalents</w:t>
      </w:r>
      <w:r>
        <w:t xml:space="preserve"> </w:t>
      </w:r>
      <w:r>
        <w:t xml:space="preserve">or as a labeled reference layer awaits his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 and Linux builds</w:t>
      </w:r>
      <w:r>
        <w:t xml:space="preserve"> </w:t>
      </w:r>
      <w:r>
        <w:t xml:space="preserve">for the input centers.</w:t>
      </w:r>
    </w:p>
    <w:p>
      <w:pPr>
        <w:pStyle w:val="Compact"/>
        <w:numPr>
          <w:ilvl w:val="0"/>
          <w:numId w:val="1001"/>
        </w:numPr>
      </w:pPr>
      <w:r>
        <w:t xml:space="preserve">Cataloging has been deliberately set aside as its own future</w:t>
      </w:r>
      <w:r>
        <w:t xml:space="preserve"> </w:t>
      </w:r>
      <w:r>
        <w:t xml:space="preserve">project; the knowledge mined from the Project’s original</w:t>
      </w:r>
      <w:r>
        <w:t xml:space="preserve"> </w:t>
      </w:r>
      <w:r>
        <w:t xml:space="preserve">cataloging toolchain is banked and waiting for it.</w:t>
      </w:r>
    </w:p>
    <w:bookmarkEnd w:id="16"/>
    <w:bookmarkStart w:id="17" w:name="how-to-get-it"/>
    <w:p>
      <w:pPr>
        <w:pStyle w:val="Heading2"/>
      </w:pPr>
      <w:r>
        <w:t xml:space="preserve">9. How to get it</w:t>
      </w:r>
    </w:p>
    <w:p>
      <w:pPr>
        <w:pStyle w:val="FirstParagraph"/>
      </w:pPr>
      <w:r>
        <w:t xml:space="preserve">The tool is distributed by the ALL team as a standard Mac disk</w:t>
      </w:r>
      <w:r>
        <w:t xml:space="preserve"> </w:t>
      </w:r>
      <w:r>
        <w:t xml:space="preserve">image (a DMG): open the image, drag the application to your</w:t>
      </w:r>
      <w:r>
        <w:t xml:space="preserve"> </w:t>
      </w:r>
      <w:r>
        <w:t xml:space="preserve">Applications folder, and — the first time only — right-click the</w:t>
      </w:r>
      <w:r>
        <w:t xml:space="preserve"> </w:t>
      </w:r>
      <w:r>
        <w:t xml:space="preserve">app and choose Open. Everything it needs is inside; no installer,</w:t>
      </w:r>
      <w:r>
        <w:t xml:space="preserve"> </w:t>
      </w:r>
      <w:r>
        <w:t xml:space="preserve">no account, no connection required. Distribution is through the</w:t>
      </w:r>
      <w:r>
        <w:t xml:space="preserve"> </w:t>
      </w:r>
      <w:r>
        <w:t xml:space="preserve">team directly; students and translators who worked with the demo</w:t>
      </w:r>
      <w:r>
        <w:t xml:space="preserve"> </w:t>
      </w:r>
      <w:r>
        <w:t xml:space="preserve">should ask their program coordinator for the current build.</w:t>
      </w:r>
    </w:p>
    <w:p>
      <w:pPr>
        <w:pStyle w:val="BodyText"/>
      </w:pPr>
      <w:r>
        <w:t xml:space="preserve">Help lives inside the application itself: a searchable Help window</w:t>
      </w:r>
      <w:r>
        <w:t xml:space="preserve"> </w:t>
      </w:r>
      <w:r>
        <w:t xml:space="preserve">documents every pane, every button, and the suggested workflows —</w:t>
      </w:r>
      <w:r>
        <w:t xml:space="preserve"> </w:t>
      </w:r>
      <w:r>
        <w:t xml:space="preserve">from a student’s first hour to a translation checked end to 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Seventeen panes, one principle: the machine may match the master’s</w:t>
      </w:r>
      <w:r>
        <w:t xml:space="preserve"> </w:t>
      </w:r>
      <w:r>
        <w:t xml:space="preserve">English — it may never compose it.</w:t>
      </w:r>
    </w:p>
    <w:p>
      <w:pPr>
        <w:pStyle w:val="BodyText"/>
      </w:pPr>
      <w:r>
        <w:rPr>
          <w:i/>
          <w:iCs/>
        </w:rPr>
        <w:t xml:space="preserve">Prepared with reverence for the lineage of translation this tool</w:t>
      </w:r>
      <w:r>
        <w:rPr>
          <w:i/>
          <w:iCs/>
        </w:rPr>
        <w:t xml:space="preserve"> </w:t>
      </w:r>
      <w:r>
        <w:rPr>
          <w:i/>
          <w:iCs/>
        </w:rPr>
        <w:t xml:space="preserve">exists to serve.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2026-08-11T21:04:55Z</dcterms:created>
  <dcterms:modified xsi:type="dcterms:W3CDTF">2026-08-11T21:04:55Z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