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6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A third route (also</w:t>
      </w:r>
      <w:r>
        <w:t xml:space="preserve"> </w:t>
      </w:r>
      <w:r>
        <w:t xml:space="preserve">2026-08-20) adds</w:t>
      </w:r>
      <w:r>
        <w:t xml:space="preserve"> </w:t>
      </w:r>
      <w:r>
        <w:rPr>
          <w:b/>
          <w:bCs/>
        </w:rPr>
        <w:t xml:space="preserve">passage evidence</w:t>
      </w:r>
      <w:r>
        <w:t xml:space="preserve"> </w:t>
      </w:r>
      <w:r>
        <w:t xml:space="preserve">for notes from the three</w:t>
      </w:r>
      <w:r>
        <w:t xml:space="preserve"> </w:t>
      </w:r>
      <w:r>
        <w:t xml:space="preserve">published single-book sources: where the lemma appears verbatim in</w:t>
      </w:r>
      <w:r>
        <w:t xml:space="preserve"> </w:t>
      </w:r>
      <w:r>
        <w:t xml:space="preserve">the published English of the note’s</w:t>
      </w:r>
      <w:r>
        <w:t xml:space="preserve"> </w:t>
      </w:r>
      <w:r>
        <w:rPr>
          <w:i/>
          <w:iCs/>
        </w:rPr>
        <w:t xml:space="preserve">own work</w:t>
      </w:r>
      <w:r>
        <w:t xml:space="preserve"> </w:t>
      </w:r>
      <w:r>
        <w:t xml:space="preserve">(the aligned corpus</w:t>
      </w:r>
      <w:r>
        <w:t xml:space="preserve"> </w:t>
      </w:r>
      <w:r>
        <w:t xml:space="preserve">carries each book under one course), the matching passages appear</w:t>
      </w:r>
      <w:r>
        <w:t xml:space="preserve"> </w:t>
      </w:r>
      <w:r>
        <w:t xml:space="preserve">under</w:t>
      </w:r>
      <w:r>
        <w:t xml:space="preserve"> </w:t>
      </w:r>
      <w:r>
        <w:t xml:space="preserve">“WHERE HIS PUBLISHED ENGLISH USES THIS LEMMA”</w:t>
      </w:r>
      <w:r>
        <w:t xml:space="preserve"> </w:t>
      </w:r>
      <w:r>
        <w:t xml:space="preserve">— explicitly</w:t>
      </w:r>
      <w:r>
        <w:t xml:space="preserve"> </w:t>
      </w:r>
      <w:r>
        <w:t xml:space="preserve">the passage, never a term equivalence; you read the Tibetan</w:t>
      </w:r>
      <w:r>
        <w:t xml:space="preserve"> </w:t>
      </w:r>
      <w:r>
        <w:t xml:space="preserve">yourself. 444 of the 2,234 notes carry candidates today; the rest</w:t>
      </w:r>
      <w:r>
        <w:t xml:space="preserve"> </w:t>
      </w:r>
      <w:r>
        <w:t xml:space="preserve">stay honestly bare 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Since 2026-08-20 recognition runs in the</w:t>
      </w:r>
      <w:r>
        <w:t xml:space="preserve"> </w:t>
      </w:r>
      <w:r>
        <w:t xml:space="preserve">background: the interface stays live, the button becomes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while it works, and stopping keeps the lines already recognized,</w:t>
      </w:r>
      <w:r>
        <w:t xml:space="preserve"> </w:t>
      </w:r>
      <w:r>
        <w:t xml:space="preserve">clearly labeled as partial.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37"/>
    <w:bookmarkStart w:id="138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0"/>
    <w:bookmarkStart w:id="14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1"/>
    <w:bookmarkStart w:id="14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2"/>
    <w:bookmarkStart w:id="14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5"/>
    <w:bookmarkStart w:id="14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6"/>
    <w:bookmarkStart w:id="14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7"/>
    <w:bookmarkStart w:id="14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8"/>
    <w:bookmarkStart w:id="14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9"/>
    <w:bookmarkStart w:id="15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2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2"/>
    <w:bookmarkStart w:id="15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3"/>
    <w:bookmarkStart w:id="15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4"/>
    <w:bookmarkStart w:id="15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5"/>
    <w:bookmarkStart w:id="15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6"/>
    <w:bookmarkStart w:id="15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7"/>
    <w:bookmarkStart w:id="15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8"/>
    <w:bookmarkStart w:id="15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9"/>
    <w:bookmarkStart w:id="16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0"/>
    <w:bookmarkStart w:id="16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2026-08-20T16:57:47Z</dcterms:created>
  <dcterms:modified xsi:type="dcterms:W3CDTF">2026-08-20T16:57:47Z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