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 (v8)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42,199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 — and</w:t>
            </w:r>
            <w:r>
              <w:t xml:space="preserve"> </w:t>
            </w:r>
            <w:r>
              <w:t xml:space="preserve">readable: any text in the canon,</w:t>
            </w:r>
            <w:r>
              <w:t xml:space="preserve"> </w:t>
            </w:r>
            <w:r>
              <w:t xml:space="preserve">including a full 1.6MB volume,</w:t>
            </w:r>
            <w:r>
              <w:t xml:space="preserve"> </w:t>
            </w:r>
            <w:r>
              <w:t xml:space="preserve">opens in the reading pane fully</w:t>
            </w:r>
            <w:r>
              <w:t xml:space="preserve"> </w:t>
            </w:r>
            <w:r>
              <w:t xml:space="preserve">dictionary-shaded in under half</w:t>
            </w:r>
            <w:r>
              <w:t xml:space="preserve"> </w:t>
            </w:r>
            <w:r>
              <w:t xml:space="preserve">a second, whether the file is in</w:t>
            </w:r>
            <w:r>
              <w:t xml:space="preserve"> </w:t>
            </w:r>
            <w:r>
              <w:t xml:space="preserve">ACIP or scholarly 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Scholarly reference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Mahāvyutpatti (9,379 classical</w:t>
            </w:r>
            <w:r>
              <w:t xml:space="preserve"> </w:t>
            </w:r>
            <w:r>
              <w:t xml:space="preserve">Sanskrit–Tibetan equivalences);</w:t>
            </w:r>
            <w:r>
              <w:t xml:space="preserve"> </w:t>
            </w:r>
            <w:r>
              <w:t xml:space="preserve">a hand-tagged classical</w:t>
            </w:r>
            <w:r>
              <w:t xml:space="preserve"> </w:t>
            </w:r>
            <w:r>
              <w:t xml:space="preserve">part-of-speech lexicon (13,107</w:t>
            </w:r>
            <w:r>
              <w:t xml:space="preserve"> </w:t>
            </w:r>
            <w:r>
              <w:t xml:space="preserve">forms); a manuscript-abbreviation</w:t>
            </w:r>
            <w:r>
              <w:t xml:space="preserve"> </w:t>
            </w:r>
            <w:r>
              <w:t xml:space="preserve">table; and William Dwight</w:t>
            </w:r>
            <w:r>
              <w:t xml:space="preserve"> </w:t>
            </w:r>
            <w:r>
              <w:t xml:space="preserve">Whitney’s two preeminent Sanskrit</w:t>
            </w:r>
            <w:r>
              <w:t xml:space="preserve"> </w:t>
            </w:r>
            <w:r>
              <w:t xml:space="preserve">works — all 937 roots of the</w:t>
            </w:r>
            <w:r>
              <w:t xml:space="preserve"> </w:t>
            </w:r>
            <w:r>
              <w:t xml:space="preserve">1885 Roots with per-root section</w:t>
            </w:r>
            <w:r>
              <w:t xml:space="preserve"> </w:t>
            </w:r>
            <w:r>
              <w:t xml:space="preserve">citations into the 1879 Grammar</w:t>
            </w:r>
            <w:r>
              <w:t xml:space="preserve"> </w:t>
            </w:r>
            <w:r>
              <w:t xml:space="preserve">— every layer license-verified</w:t>
            </w:r>
            <w:r>
              <w:t xml:space="preserve"> </w:t>
            </w:r>
            <w:r>
              <w:t xml:space="preserve">and clearly labeled comparanda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Project’s own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growing register of community</w:t>
            </w:r>
            <w:r>
              <w:t xml:space="preserve"> </w:t>
            </w:r>
            <w:r>
              <w:t xml:space="preserve">pronunciations (gonpa, tulku,</w:t>
            </w:r>
            <w:r>
              <w:t xml:space="preserve"> </w:t>
            </w:r>
            <w:r>
              <w:t xml:space="preserve">chenrezig…) beside the strict</w:t>
            </w:r>
            <w:r>
              <w:t xml:space="preserve"> </w:t>
            </w:r>
            <w:r>
              <w:t xml:space="preserve">convention; the prenasal rule</w:t>
            </w:r>
            <w:r>
              <w:t xml:space="preserve"> </w:t>
            </w:r>
            <w:r>
              <w:t xml:space="preserve">Geshe Michael teaches (SKABS ’DIR</w:t>
            </w:r>
            <w:r>
              <w:t xml:space="preserve"> </w:t>
            </w:r>
            <w:r>
              <w:t xml:space="preserve">spoken</w:t>
            </w:r>
            <w:r>
              <w:t xml:space="preserve"> </w:t>
            </w:r>
            <w:r>
              <w:t xml:space="preserve">“kamdir”</w:t>
            </w:r>
            <w:r>
              <w:t xml:space="preserve">) applied across</w:t>
            </w:r>
            <w:r>
              <w:t xml:space="preserve"> </w:t>
            </w:r>
            <w:r>
              <w:t xml:space="preserve">the dictionary as a derived,</w:t>
            </w:r>
            <w:r>
              <w:t xml:space="preserve"> </w:t>
            </w:r>
            <w:r>
              <w:t xml:space="preserve">review-pending class of 206 forms</w:t>
            </w:r>
            <w:r>
              <w:t xml:space="preserve"> </w:t>
            </w:r>
            <w:r>
              <w:t xml:space="preserve">— and verified never to</w:t>
            </w:r>
            <w:r>
              <w:t xml:space="preserve"> </w:t>
            </w:r>
            <w:r>
              <w:t xml:space="preserve">contradict the dictionary’s own</w:t>
            </w:r>
            <w:r>
              <w:t xml:space="preserve"> </w:t>
            </w:r>
            <w:r>
              <w:t xml:space="preserve">attested pronunciations, which</w:t>
            </w:r>
            <w:r>
              <w:t xml:space="preserve"> </w:t>
            </w:r>
            <w:r>
              <w:t xml:space="preserve">are internally consistent at</w:t>
            </w:r>
            <w:r>
              <w:t xml:space="preserve"> </w:t>
            </w:r>
            <w:r>
              <w:t xml:space="preserve">every such juncture; and an</w:t>
            </w:r>
            <w:r>
              <w:t xml:space="preserve"> </w:t>
            </w:r>
            <w:r>
              <w:t xml:space="preserve">honorific (zhe sa) register whose</w:t>
            </w:r>
            <w:r>
              <w:t xml:space="preserve"> </w:t>
            </w:r>
            <w:r>
              <w:t xml:space="preserve">terms wear their badge, with the</w:t>
            </w:r>
            <w:r>
              <w:t xml:space="preserve"> </w:t>
            </w:r>
            <w:r>
              <w:t xml:space="preserve">ordinary word beside them, in</w:t>
            </w:r>
            <w:r>
              <w:t xml:space="preserve"> </w:t>
            </w:r>
            <w:r>
              <w:t xml:space="preserve">every pane of the application —</w:t>
            </w:r>
            <w:r>
              <w:t xml:space="preserve"> </w:t>
            </w:r>
            <w:r>
              <w:t xml:space="preserve">with a high-honorific level</w:t>
            </w:r>
            <w:r>
              <w:t xml:space="preserve"> </w:t>
            </w:r>
            <w:r>
              <w:t xml:space="preserve">awaiting his 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fifteen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 And the following now reaches the single word: an opt-in</w:t>
      </w:r>
      <w:r>
        <w:t xml:space="preserve"> </w:t>
      </w:r>
      <w:r>
        <w:t xml:space="preserve">button reads the woodblock image itself with the embedded text</w:t>
      </w:r>
      <w:r>
        <w:t xml:space="preserve"> </w:t>
      </w:r>
      <w:r>
        <w:t xml:space="preserve">recognition described below and draws a box around the very word under</w:t>
      </w:r>
      <w:r>
        <w:t xml:space="preserve"> </w:t>
      </w:r>
      <w:r>
        <w:t xml:space="preserve">the cursor — the recognition is used only to locate, never as text,</w:t>
      </w:r>
      <w:r>
        <w:t xml:space="preserve"> </w:t>
      </w:r>
      <w:r>
        <w:t xml:space="preserve">and when it cannot find the word it says so.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A</w:t>
      </w:r>
      <w:r>
        <w:t xml:space="preserve"> </w:t>
      </w:r>
      <w:r>
        <w:t xml:space="preserve">legacy-font rescue lane converts documents typed in the pre-Unicode</w:t>
      </w:r>
      <w:r>
        <w:t xml:space="preserve"> </w:t>
      </w:r>
      <w:r>
        <w:t xml:space="preserve">Tibetan fonts (TibetanMachineWeb, Sambhota and their kin) to proper</w:t>
      </w:r>
      <w:r>
        <w:t xml:space="preserve"> </w:t>
      </w:r>
      <w:r>
        <w:t xml:space="preserve">Unicode through the Trace Foundation’s converter, run as a separate</w:t>
      </w:r>
      <w:r>
        <w:t xml:space="preserve"> </w:t>
      </w:r>
      <w:r>
        <w:t xml:space="preserve">external tool and honestly labeled.</w:t>
      </w:r>
    </w:p>
    <w:p>
      <w:pPr>
        <w:pStyle w:val="BodyText"/>
      </w:pPr>
      <w:r>
        <w:rPr>
          <w:b/>
          <w:bCs/>
        </w:rPr>
        <w:t xml:space="preserve">Scan — Tibetan OCR, embedded and proven</w:t>
      </w:r>
    </w:p>
    <w:p>
      <w:pPr>
        <w:pStyle w:val="BodyText"/>
      </w:pPr>
      <w:r>
        <w:t xml:space="preserve">Text recognition now lives inside the application: the Buddhist</w:t>
      </w:r>
      <w:r>
        <w:t xml:space="preserve"> </w:t>
      </w:r>
      <w:r>
        <w:t xml:space="preserve">Digital Resource Center’s open models (used with BDRC’s permission,</w:t>
      </w:r>
      <w:r>
        <w:t xml:space="preserve"> </w:t>
      </w:r>
      <w:r>
        <w:t xml:space="preserve">and credited wherever output appears) run locally, line detection and</w:t>
      </w:r>
      <w:r>
        <w:t xml:space="preserve"> </w:t>
      </w:r>
      <w:r>
        <w:t xml:space="preserve">recognition both proven line-for-line against BDRC’s own program</w:t>
      </w:r>
      <w:r>
        <w:t xml:space="preserve"> </w:t>
      </w:r>
      <w:r>
        <w:t xml:space="preserve">running beside them. A page scan opens, its lines are found and read,</w:t>
      </w:r>
      <w:r>
        <w:t xml:space="preserve"> </w:t>
      </w:r>
      <w:r>
        <w:t xml:space="preserve">and every recognized line is shown in transliteration and Tibetan</w:t>
      </w:r>
      <w:r>
        <w:t xml:space="preserve"> </w:t>
      </w:r>
      <w:r>
        <w:t xml:space="preserve">script with an immediate first-pass quality check that counts and</w:t>
      </w:r>
      <w:r>
        <w:t xml:space="preserve"> </w:t>
      </w:r>
      <w:r>
        <w:t xml:space="preserve">marks every syllable failing the classical legality rules — nothing</w:t>
      </w:r>
      <w:r>
        <w:t xml:space="preserve"> </w:t>
      </w:r>
      <w:r>
        <w:t xml:space="preserve">is smoothed, everything is flagged, and all output is tagged</w:t>
      </w:r>
      <w:r>
        <w:t xml:space="preserve"> </w:t>
      </w:r>
      <w:r>
        <w:t xml:space="preserve">unverified review material that never enters the corpus. A whole</w:t>
      </w:r>
      <w:r>
        <w:t xml:space="preserve"> </w:t>
      </w:r>
      <w:r>
        <w:t xml:space="preserve">folder of page scans — a scanned volume — processes in one batch.</w:t>
      </w:r>
      <w:r>
        <w:t xml:space="preserve"> </w:t>
      </w:r>
      <w:r>
        <w:t xml:space="preserve">Every recognized word carries its exact position on the page, so</w:t>
      </w:r>
      <w:r>
        <w:t xml:space="preserve"> </w:t>
      </w:r>
      <w:r>
        <w:t xml:space="preserve">clicking a word in the reading lights it up on the woodblock.</w:t>
      </w:r>
    </w:p>
    <w:p>
      <w:pPr>
        <w:pStyle w:val="BodyText"/>
      </w:pPr>
      <w:r>
        <w:rPr>
          <w:b/>
          <w:bCs/>
        </w:rPr>
        <w:t xml:space="preserve">Align — the Hypercontext workflow, reborn</w:t>
      </w:r>
    </w:p>
    <w:p>
      <w:pPr>
        <w:pStyle w:val="BodyText"/>
      </w:pPr>
      <w:r>
        <w:t xml:space="preserve">The Project’s original Hypercontext tool — the program whose</w:t>
      </w:r>
      <w:r>
        <w:t xml:space="preserve"> </w:t>
      </w:r>
      <w:r>
        <w:t xml:space="preserve">hypertexted files fed the first dictionary building — lives again: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lengths), select its English, press space, and the pair is linked;</w:t>
      </w:r>
      <w:r>
        <w:t xml:space="preserve"> </w:t>
      </w:r>
      <w:r>
        <w:t xml:space="preserve">sublinks nest inside longer links in their own color. Links save per</w:t>
      </w:r>
      <w:r>
        <w:t xml:space="preserve"> </w:t>
      </w:r>
      <w:r>
        <w:t xml:space="preserve">text, and the harvest exports as clearly-PENDING candidate pairs for</w:t>
      </w:r>
      <w:r>
        <w:t xml:space="preserve"> </w:t>
      </w:r>
      <w:r>
        <w:t xml:space="preserve">the dictionary project — translator-authored attestations, never</w:t>
      </w:r>
      <w:r>
        <w:t xml:space="preserve"> </w:t>
      </w:r>
      <w:r>
        <w:t xml:space="preserve">auto-ingested. Legacy .hyp files from the original era import</w:t>
      </w:r>
      <w:r>
        <w:t xml:space="preserve"> </w:t>
      </w:r>
      <w:r>
        <w:t xml:space="preserve">directly, proven against the original tutorial file itself.</w:t>
      </w:r>
    </w:p>
    <w:p>
      <w:pPr>
        <w:pStyle w:val="BodyText"/>
      </w:pPr>
      <w:r>
        <w:rPr>
          <w:b/>
          <w:bCs/>
        </w:rPr>
        <w:t xml:space="preserve">Input — the input-center workstation</w:t>
      </w:r>
    </w:p>
    <w:p>
      <w:pPr>
        <w:pStyle w:val="BodyText"/>
      </w:pPr>
      <w:r>
        <w:t xml:space="preserve">The software the input centers were meant to have — the ACE lineage,</w:t>
      </w:r>
      <w:r>
        <w:t xml:space="preserve"> </w:t>
      </w:r>
      <w:r>
        <w:t xml:space="preserve">recovered from its original author and rebuilt — is now a pane: the</w:t>
      </w:r>
      <w:r>
        <w:t xml:space="preserve"> </w:t>
      </w:r>
      <w:r>
        <w:t xml:space="preserve">page scan above, the typing area below, and the scan follows the</w:t>
      </w:r>
      <w:r>
        <w:t xml:space="preserve"> </w:t>
      </w:r>
      <w:r>
        <w:t xml:space="preserve">typist’s cursor line by line (exactly, when the line detector has run;</w:t>
      </w:r>
      <w:r>
        <w:t xml:space="preserve"> </w:t>
      </w:r>
      <w:r>
        <w:t xml:space="preserve">approximately, in the original program’s manner, when it has not).</w:t>
      </w:r>
      <w:r>
        <w:t xml:space="preserve"> </w:t>
      </w:r>
      <w:r>
        <w:t xml:space="preserve">Illegal syllables underline in red as they are typed; a folio-marker</w:t>
      </w:r>
      <w:r>
        <w:t xml:space="preserve"> </w:t>
      </w:r>
      <w:r>
        <w:t xml:space="preserve">button inserts the next @-marker per the Project’s own specification;</w:t>
      </w:r>
      <w:r>
        <w:t xml:space="preserve"> </w:t>
      </w:r>
      <w:r>
        <w:t xml:space="preserve">and the double-keying discipline is built in — compare your file</w:t>
      </w:r>
      <w:r>
        <w:t xml:space="preserve"> </w:t>
      </w:r>
      <w:r>
        <w:t xml:space="preserve">against your partner’s and every discrepancy lights up, to be</w:t>
      </w:r>
      <w:r>
        <w:t xml:space="preserve"> </w:t>
      </w:r>
      <w:r>
        <w:t xml:space="preserve">corrected until the two files match exactly, which has always been</w:t>
      </w:r>
      <w:r>
        <w:t xml:space="preserve"> </w:t>
      </w:r>
      <w:r>
        <w:t xml:space="preserve">the rule.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 — and the search meets</w:t>
      </w:r>
      <w:r>
        <w:t xml:space="preserve"> </w:t>
      </w:r>
      <w:r>
        <w:t xml:space="preserve">the searcher halfway: a community spelling like</w:t>
      </w:r>
      <w:r>
        <w:t xml:space="preserve"> </w:t>
      </w:r>
      <w:r>
        <w:rPr>
          <w:i/>
          <w:iCs/>
        </w:rPr>
        <w:t xml:space="preserve">gonpa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tulku</w:t>
      </w:r>
      <w:r>
        <w:t xml:space="preserve"> </w:t>
      </w:r>
      <w:r>
        <w:t xml:space="preserve">finds the entry (labeled as the colloquial register’s work, with the</w:t>
      </w:r>
      <w:r>
        <w:t xml:space="preserve"> </w:t>
      </w:r>
      <w:r>
        <w:t xml:space="preserve">strict convention shown beside it); honorific terms wear their zhe-sa</w:t>
      </w:r>
      <w:r>
        <w:t xml:space="preserve"> </w:t>
      </w:r>
      <w:r>
        <w:t xml:space="preserve">badge with the ordinary word as cross-reference; a Sanskrit root or</w:t>
      </w:r>
      <w:r>
        <w:t xml:space="preserve"> </w:t>
      </w:r>
      <w:r>
        <w:t xml:space="preserve">even its past participle opens Whitney’s entry with his meanings, verb</w:t>
      </w:r>
      <w:r>
        <w:t xml:space="preserve"> </w:t>
      </w:r>
      <w:r>
        <w:t xml:space="preserve">classes, and the exact sections of his Grammar — one click reaching</w:t>
      </w:r>
      <w:r>
        <w:t xml:space="preserve"> </w:t>
      </w:r>
      <w:r>
        <w:t xml:space="preserve">the public-domain scan of the Grammar itself or the corresponding</w:t>
      </w:r>
      <w:r>
        <w:t xml:space="preserve"> </w:t>
      </w:r>
      <w:r>
        <w:t xml:space="preserve">Monier-Williams entry.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thirty-six automated test suites — batteries</w:t>
      </w:r>
      <w:r>
        <w:t xml:space="preserve"> </w:t>
      </w:r>
      <w:r>
        <w:t xml:space="preserve">for 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two outside</w:t>
      </w:r>
      <w:r>
        <w:t xml:space="preserve"> </w:t>
      </w:r>
      <w:r>
        <w:t xml:space="preserve">witnesses: two independent open-source converters — the ecosystem’s</w:t>
      </w:r>
      <w:r>
        <w:t xml:space="preserve"> </w:t>
      </w:r>
      <w:r>
        <w:t xml:space="preserve">Python standard and the reference implementation the whole field</w:t>
      </w:r>
      <w:r>
        <w:t xml:space="preserve"> </w:t>
      </w:r>
      <w:r>
        <w:t xml:space="preserve">descends from — each run over all 105,634 dictionary entries, and</w:t>
      </w:r>
      <w:r>
        <w:t xml:space="preserve"> </w:t>
      </w:r>
      <w:r>
        <w:t xml:space="preserve">agreeing with each other to within three hundredths of a percent.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The registers grow under review: the prenasal pronunciation class</w:t>
      </w:r>
      <w:r>
        <w:t xml:space="preserve"> </w:t>
      </w:r>
      <w:r>
        <w:t xml:space="preserve">(206 derived forms awaiting Geshe Michael’s confirmation), the</w:t>
      </w:r>
      <w:r>
        <w:t xml:space="preserve"> </w:t>
      </w:r>
      <w:r>
        <w:t xml:space="preserve">honorific register’s high-honorific markings, and the reference</w:t>
      </w:r>
      <w:r>
        <w:t xml:space="preserve"> </w:t>
      </w:r>
      <w:r>
        <w:t xml:space="preserve">books on honorific usage and grammar now being gathered.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 — with the new Input pane already carrying the typing,</w:t>
      </w:r>
      <w:r>
        <w:t xml:space="preserve"> </w:t>
      </w:r>
      <w:r>
        <w:t xml:space="preserve">checking, and double-keying half of that workflow.</w:t>
      </w:r>
    </w:p>
    <w:p>
      <w:pPr>
        <w:numPr>
          <w:ilvl w:val="0"/>
          <w:numId w:val="1003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 cataloging</w:t>
      </w:r>
      <w:r>
        <w:t xml:space="preserve"> </w:t>
      </w:r>
      <w:r>
        <w:t xml:space="preserve">toolchain is banked and waiting for it.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2026-08-09T06:16:39Z</dcterms:created>
  <dcterms:modified xsi:type="dcterms:W3CDTF">2026-08-09T06:16:39Z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