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4.png" ContentType="image/png"/>
  <Override PartName="/word/media/rId21.png" ContentType="image/png"/>
  <Override PartName="/word/media/rId27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310f4db6fd6320611d78350d6a7902b2cf3b9e1"/>
    <w:p>
      <w:pPr>
        <w:pStyle w:val="Heading1"/>
      </w:pPr>
      <w:r>
        <w:t xml:space="preserve">Diamond Cutter Translation Tool — daily digest, Tuesday 9 September 2026 (DRAFT — covers everything since Monday’s 13:40 digest)</w:t>
      </w:r>
    </w:p>
    <w:p>
      <w:pPr>
        <w:pStyle w:val="FirstParagraph"/>
      </w:pPr>
      <w:r>
        <w:rPr>
          <w:b/>
          <w:bCs/>
        </w:rPr>
        <w:t xml:space="preserve">Headline.</w:t>
      </w:r>
      <w:r>
        <w:t xml:space="preserve"> </w:t>
      </w:r>
      <w:r>
        <w:t xml:space="preserve">Since Monday’s digest I brought the tool’s menu bar to parity</w:t>
      </w:r>
      <w:r>
        <w:t xml:space="preserve"> </w:t>
      </w:r>
      <w:r>
        <w:t xml:space="preserve">with Microsoft Word and Sublime Text — twelve menus and a Word-style</w:t>
      </w:r>
      <w:r>
        <w:t xml:space="preserve"> </w:t>
      </w:r>
      <w:r>
        <w:t xml:space="preserve">Preferences window, every item working and tested — and built a full</w:t>
      </w:r>
      <w:r>
        <w:t xml:space="preserve"> </w:t>
      </w:r>
      <w:r>
        <w:rPr>
          <w:b/>
          <w:bCs/>
        </w:rPr>
        <w:t xml:space="preserve">Compare &amp; Merge suite</w:t>
      </w:r>
      <w:r>
        <w:t xml:space="preserve"> </w:t>
      </w:r>
      <w:r>
        <w:t xml:space="preserve">for Tibetan texts: two editions side by side with</w:t>
      </w:r>
      <w:r>
        <w:t xml:space="preserve"> </w:t>
      </w:r>
      <w:r>
        <w:t xml:space="preserve">the differing syllables marked, merging between them, folder comparison</w:t>
      </w:r>
      <w:r>
        <w:t xml:space="preserve"> </w:t>
      </w:r>
      <w:r>
        <w:t xml:space="preserve">with safe synchronisation, three-way merging of two proofreaders’</w:t>
      </w:r>
      <w:r>
        <w:t xml:space="preserve"> </w:t>
      </w:r>
      <w:r>
        <w:t xml:space="preserve">corrections, and an apparatus criticus that cites every variant by folio</w:t>
      </w:r>
      <w:r>
        <w:t xml:space="preserve"> </w:t>
      </w:r>
      <w:r>
        <w:t xml:space="preserve">and line. Everything ran green on the full automated battery.</w:t>
      </w:r>
    </w:p>
    <w:bookmarkStart w:id="30" w:name="what-i-did"/>
    <w:p>
      <w:pPr>
        <w:pStyle w:val="Heading2"/>
      </w:pPr>
      <w:r>
        <w:t xml:space="preserve">What I did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Menus, complete.</w:t>
      </w:r>
      <w:r>
        <w:t xml:space="preserve"> </w:t>
      </w:r>
      <w:r>
        <w:t xml:space="preserve">I modelled the menu bar on Word and Sublime Text,</w:t>
      </w:r>
      <w:r>
        <w:t xml:space="preserve"> </w:t>
      </w:r>
      <w:r>
        <w:t xml:space="preserve">taking each of their menus in turn and keeping what has an honest use on</w:t>
      </w:r>
      <w:r>
        <w:t xml:space="preserve"> </w:t>
      </w:r>
      <w:r>
        <w:t xml:space="preserve">a Tibetan text file: File, Edit, Selection, Find, Insert, Format, Tools,</w:t>
      </w:r>
      <w:r>
        <w:t xml:space="preserve"> </w:t>
      </w:r>
      <w:r>
        <w:t xml:space="preserve">Project, Goto, View, Window and Help. Highlights: a Properties window</w:t>
      </w:r>
      <w:r>
        <w:t xml:space="preserve"> </w:t>
      </w:r>
      <w:r>
        <w:t xml:space="preserve">whose Statistics understand folios, syllables and shads; encodings for</w:t>
      </w:r>
      <w:r>
        <w:t xml:space="preserve"> </w:t>
      </w:r>
      <w:r>
        <w:t xml:space="preserve">legacy input-centre files chosen on open and on save; Paste Special</w:t>
      </w:r>
      <w:r>
        <w:t xml:space="preserve"> </w:t>
      </w:r>
      <w:r>
        <w:t xml:space="preserve">converting between ACIP, Wylie and Tibetan script; Find and Replace with</w:t>
      </w:r>
      <w:r>
        <w:t xml:space="preserve"> </w:t>
      </w:r>
      <w:r>
        <w:t xml:space="preserve">regular expressions, preserved capitalisation and find-in-files; Goto a</w:t>
      </w:r>
      <w:r>
        <w:t xml:space="preserve"> </w:t>
      </w:r>
      <w:r>
        <w:t xml:space="preserve">heading, a line, a folio, a dictionary entry or the concordance;</w:t>
      </w:r>
      <w:r>
        <w:t xml:space="preserve"> </w:t>
      </w:r>
      <w:r>
        <w:t xml:space="preserve">bookmarks in the margin; Insert a folio marker, a Tibetan-symbol palette,</w:t>
      </w:r>
      <w:r>
        <w:t xml:space="preserve"> </w:t>
      </w:r>
      <w:r>
        <w:t xml:space="preserve">the date with the Tibetan year; Format styles and case changes including</w:t>
      </w:r>
      <w:r>
        <w:t xml:space="preserve"> </w:t>
      </w:r>
      <w:r>
        <w:t xml:space="preserve">Tibetan transliteration; Tools for spelling doubts, phrase memory,</w:t>
      </w:r>
      <w:r>
        <w:t xml:space="preserve"> </w:t>
      </w:r>
      <w:r>
        <w:t xml:space="preserve">hand-offs to the Draft and Manuscript, document protection, snippets;</w:t>
      </w:r>
      <w:r>
        <w:t xml:space="preserve"> </w:t>
      </w:r>
      <w:r>
        <w:t xml:space="preserve">a Project menu built on dossiers; a Window menu; Help ▸ Data Status.</w:t>
      </w:r>
      <w:r>
        <w:t xml:space="preserve"> </w:t>
      </w:r>
      <w:r>
        <w:t xml:space="preserve">Items with no meaning here (multi-caret editing, page layout, mail</w:t>
      </w:r>
      <w:r>
        <w:t xml:space="preserve"> </w:t>
      </w:r>
      <w:r>
        <w:t xml:space="preserve">merge, build systems) were skipped and the reasons recorded.</w:t>
      </w:r>
    </w:p>
    <w:p>
      <w:pPr>
        <w:pStyle w:val="CaptionedFigure"/>
      </w:pPr>
      <w:r>
        <w:drawing>
          <wp:inline>
            <wp:extent cx="2604364" cy="3025658"/>
            <wp:effectExtent b="0" l="0" r="0" t="0"/>
            <wp:docPr descr="The Insert menu: folio markers, the Tibetan and ACIP symbol palette, footnotes to the Draft, the date with the Tibetan year, and the Manuscript’s rich-text items." title="" id="10" name="Picture"/>
            <a:graphic>
              <a:graphicData uri="http://schemas.openxmlformats.org/drawingml/2006/picture">
                <pic:pic>
                  <pic:nvPicPr>
                    <pic:cNvPr descr="img/2026-09-09/menu-inser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364" cy="3025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Insert menu: folio markers, the Tibetan and ACIP symbol palette, footnotes to the Draft, the date with the Tibetan year, and the Manuscript’s rich-text items.</w:t>
      </w:r>
    </w:p>
    <w:p>
      <w:pPr>
        <w:pStyle w:val="CaptionedFigure"/>
      </w:pPr>
      <w:r>
        <w:drawing>
          <wp:inline>
            <wp:extent cx="3169281" cy="3044808"/>
            <wp:effectExtent b="0" l="0" r="0" t="0"/>
            <wp:docPr descr="The Tools menu: spelling doubts, phrase memory, hand-offs between panes, word count, document protection, templates, snippets and the new Compare submenu." title="" id="13" name="Picture"/>
            <a:graphic>
              <a:graphicData uri="http://schemas.openxmlformats.org/drawingml/2006/picture">
                <pic:pic>
                  <pic:nvPicPr>
                    <pic:cNvPr descr="img/2026-09-09/menu-tool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281" cy="3044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Tools menu: spelling doubts, phrase memory, hand-offs between panes, word count, document protection, templates, snippets and the new Compare submenu.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Preferences.</w:t>
      </w:r>
      <w:r>
        <w:t xml:space="preserve"> </w:t>
      </w:r>
      <w:r>
        <w:t xml:space="preserve">A Word-style window of eleven pages behind an icon</w:t>
      </w:r>
      <w:r>
        <w:t xml:space="preserve"> </w:t>
      </w:r>
      <w:r>
        <w:t xml:space="preserve">grid with search: General, View, House Style, Lookup, Compare, Team,</w:t>
      </w:r>
      <w:r>
        <w:t xml:space="preserve"> </w:t>
      </w:r>
      <w:r>
        <w:t xml:space="preserve">Locations, Privacy, Colours, Shortcuts and Quick Access. Every switch</w:t>
      </w:r>
      <w:r>
        <w:t xml:space="preserve"> </w:t>
      </w:r>
      <w:r>
        <w:t xml:space="preserve">drives a real setting; the Shortcuts page lists every menu command and</w:t>
      </w:r>
      <w:r>
        <w:t xml:space="preserve"> </w:t>
      </w:r>
      <w:r>
        <w:t xml:space="preserve">key from the live menu bar.</w:t>
      </w:r>
    </w:p>
    <w:p>
      <w:pPr>
        <w:pStyle w:val="CaptionedFigure"/>
      </w:pPr>
      <w:r>
        <w:drawing>
          <wp:inline>
            <wp:extent cx="5334000" cy="3897923"/>
            <wp:effectExtent b="0" l="0" r="0" t="0"/>
            <wp:docPr descr="Preferences: the icon grid. Search narrows it; one page opens at a time with Show All to return." title="" id="16" name="Picture"/>
            <a:graphic>
              <a:graphicData uri="http://schemas.openxmlformats.org/drawingml/2006/picture">
                <pic:pic>
                  <pic:nvPicPr>
                    <pic:cNvPr descr="img/2026-09-09/prefs-gri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Preferences: the icon grid. Search narrows it; one page opens at a time with Show All to return.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House style.</w:t>
      </w:r>
      <w:r>
        <w:t xml:space="preserve"> </w:t>
      </w:r>
      <w:r>
        <w:t xml:space="preserve">I made our style sheet’s spacing rules switches on the</w:t>
      </w:r>
      <w:r>
        <w:t xml:space="preserve"> </w:t>
      </w:r>
      <w:r>
        <w:t xml:space="preserve">House Style page: two spaces after a sentence, applied on demand, on</w:t>
      </w:r>
      <w:r>
        <w:t xml:space="preserve"> </w:t>
      </w:r>
      <w:r>
        <w:t xml:space="preserve">save, or as you type — English only, abbreviations left alone. Colon and</w:t>
      </w:r>
      <w:r>
        <w:t xml:space="preserve"> </w:t>
      </w:r>
      <w:r>
        <w:t xml:space="preserve">semicolon rules are there too, off until I confirm them against the</w:t>
      </w:r>
      <w:r>
        <w:t xml:space="preserve"> </w:t>
      </w:r>
      <w:r>
        <w:t xml:space="preserve">sheet.</w:t>
      </w:r>
    </w:p>
    <w:p>
      <w:pPr>
        <w:pStyle w:val="CaptionedFigure"/>
      </w:pPr>
      <w:r>
        <w:drawing>
          <wp:inline>
            <wp:extent cx="5334000" cy="3897923"/>
            <wp:effectExtent b="0" l="0" r="0" t="0"/>
            <wp:docPr descr="Preferences ▸ House Style: each rule of the style sheet is a switch." title="" id="19" name="Picture"/>
            <a:graphic>
              <a:graphicData uri="http://schemas.openxmlformats.org/drawingml/2006/picture">
                <pic:pic>
                  <pic:nvPicPr>
                    <pic:cNvPr descr="img/2026-09-09/prefs-house-styl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Preferences ▸ House Style: each rule of the style sheet is a switch.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 &amp; Merge suite.</w:t>
      </w:r>
      <w:r>
        <w:t xml:space="preserve"> </w:t>
      </w:r>
      <w:r>
        <w:t xml:space="preserve">I studied Beyond Compare, WinMerge,</w:t>
      </w:r>
      <w:r>
        <w:t xml:space="preserve"> </w:t>
      </w:r>
      <w:r>
        <w:t xml:space="preserve">UltraCompare and Araxis Merge and built their combined functionality</w:t>
      </w:r>
      <w:r>
        <w:t xml:space="preserve"> </w:t>
      </w:r>
      <w:r>
        <w:t xml:space="preserve">into a new Compare pane in the Research group, adapted for our texts.</w:t>
      </w:r>
      <w:r>
        <w:t xml:space="preserve"> </w:t>
      </w:r>
      <w:r>
        <w:t xml:space="preserve">Compare two files, or a text against the clipboard or its saved version;</w:t>
      </w:r>
      <w:r>
        <w:t xml:space="preserve"> </w:t>
      </w:r>
      <w:r>
        <w:t xml:space="preserve">differences are shown line by line with the changed</w:t>
      </w:r>
      <w:r>
        <w:t xml:space="preserve"> </w:t>
      </w:r>
      <w:r>
        <w:rPr>
          <w:b/>
          <w:bCs/>
        </w:rPr>
        <w:t xml:space="preserve">syllables</w:t>
      </w:r>
      <w:r>
        <w:t xml:space="preserve"> </w:t>
      </w:r>
      <w:r>
        <w:t xml:space="preserve">highlighted, in any of ACIP, Wylie or Tibetan script. Rules let the tool</w:t>
      </w:r>
      <w:r>
        <w:t xml:space="preserve"> </w:t>
      </w:r>
      <w:r>
        <w:t xml:space="preserve">ignore spacing, shad variants, folio markers, editorial brackets, or</w:t>
      </w:r>
      <w:r>
        <w:t xml:space="preserve"> </w:t>
      </w:r>
      <w:r>
        <w:t xml:space="preserve">compare</w:t>
      </w:r>
      <w:r>
        <w:t xml:space="preserve"> </w:t>
      </w:r>
      <w:r>
        <w:rPr>
          <w:b/>
          <w:bCs/>
        </w:rPr>
        <w:t xml:space="preserve">across scripts</w:t>
      </w:r>
      <w:r>
        <w:t xml:space="preserve"> </w:t>
      </w:r>
      <w:r>
        <w:t xml:space="preserve">(an ACIP file against a Unicode file). Copy a</w:t>
      </w:r>
      <w:r>
        <w:t xml:space="preserve"> </w:t>
      </w:r>
      <w:r>
        <w:t xml:space="preserve">reading left or right, undo without limit, edit in place, pin lines that</w:t>
      </w:r>
      <w:r>
        <w:t xml:space="preserve"> </w:t>
      </w:r>
      <w:r>
        <w:t xml:space="preserve">must align. Reports: a side-by-side HTML page, a patch file, and an</w:t>
      </w:r>
      <w:r>
        <w:t xml:space="preserve"> </w:t>
      </w:r>
      <w:r>
        <w:rPr>
          <w:b/>
          <w:bCs/>
        </w:rPr>
        <w:t xml:space="preserve">apparatus criticus</w:t>
      </w:r>
      <w:r>
        <w:t xml:space="preserve"> </w:t>
      </w:r>
      <w:r>
        <w:t xml:space="preserve">in Markdown or CSV. Folder Compare classifies two</w:t>
      </w:r>
      <w:r>
        <w:t xml:space="preserve"> </w:t>
      </w:r>
      <w:r>
        <w:t xml:space="preserve">folders and copies only after a preview (it never deletes); snapshots</w:t>
      </w:r>
      <w:r>
        <w:t xml:space="preserve"> </w:t>
      </w:r>
      <w:r>
        <w:t xml:space="preserve">record a folder’s state for later comparison. Three-Way Merge combines</w:t>
      </w:r>
      <w:r>
        <w:t xml:space="preserve"> </w:t>
      </w:r>
      <w:r>
        <w:t xml:space="preserve">two edited copies of one text against the original, resolving conflicts</w:t>
      </w:r>
      <w:r>
        <w:t xml:space="preserve"> </w:t>
      </w:r>
      <w:r>
        <w:t xml:space="preserve">one by one; a file left with conflict markers opens as a two-sided</w:t>
      </w:r>
      <w:r>
        <w:t xml:space="preserve"> </w:t>
      </w:r>
      <w:r>
        <w:t xml:space="preserve">comparison. Command-line comparison for scripted checks.</w:t>
      </w:r>
    </w:p>
    <w:p>
      <w:pPr>
        <w:pStyle w:val="CaptionedFigure"/>
      </w:pPr>
      <w:r>
        <w:drawing>
          <wp:inline>
            <wp:extent cx="5334000" cy="2974873"/>
            <wp:effectExtent b="0" l="0" r="0" t="0"/>
            <wp:docPr descr="Text Compare: two prints of the opening of the Diamond Cutter. The changed reading (THAMS CAD ↔ KUN) is marked at the syllable, a dropped line shows in red, an added line in green; the arrows between the panes copy a reading across; the map at the right edge shows every difference in the whole text." title="" id="22" name="Picture"/>
            <a:graphic>
              <a:graphicData uri="http://schemas.openxmlformats.org/drawingml/2006/picture">
                <pic:pic>
                  <pic:nvPicPr>
                    <pic:cNvPr descr="img/2026-09-09/compare-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Text Compare: two prints of the opening of the Diamond Cutter. The changed reading (THAMS CAD ↔ KUN) is marked at the syllable, a dropped line shows in red, an added line in green; the arrows between the panes copy a reading across; the map at the right edge shows every difference in the whole text.</w:t>
      </w:r>
    </w:p>
    <w:p>
      <w:pPr>
        <w:pStyle w:val="CaptionedFigure"/>
      </w:pPr>
      <w:r>
        <w:drawing>
          <wp:inline>
            <wp:extent cx="5334000" cy="2974873"/>
            <wp:effectExtent b="0" l="0" r="0" t="0"/>
            <wp:docPr descr="Folder Compare: two batches classified Identical, Different, Left only and Right only, with Copy and Update actions that preview before copying and never delete." title="" id="25" name="Picture"/>
            <a:graphic>
              <a:graphicData uri="http://schemas.openxmlformats.org/drawingml/2006/picture">
                <pic:pic>
                  <pic:nvPicPr>
                    <pic:cNvPr descr="img/2026-09-09/compare-folder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Folder Compare: two batches classified Identical, Different, Left only and Right only, with Copy and Update actions that preview before copying and never delete.</w:t>
      </w:r>
    </w:p>
    <w:p>
      <w:pPr>
        <w:pStyle w:val="CaptionedFigure"/>
      </w:pPr>
      <w:r>
        <w:drawing>
          <wp:inline>
            <wp:extent cx="5334000" cy="2974873"/>
            <wp:effectExtent b="0" l="0" r="0" t="0"/>
            <wp:docPr descr="Three-Way Merge: two proofreaders’ corrections of one text against the original. The change both agree on merged itself; the one they disagree on is listed as a conflict for a human to settle." title="" id="28" name="Picture"/>
            <a:graphic>
              <a:graphicData uri="http://schemas.openxmlformats.org/drawingml/2006/picture">
                <pic:pic>
                  <pic:nvPicPr>
                    <pic:cNvPr descr="img/2026-09-09/compare-threewa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Three-Way Merge: two proofreaders’ corrections of one text against the original. The change both agree on merged itself; the one they disagree on is listed as a conflict for a human to settle.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Dictionary ordering.</w:t>
      </w:r>
      <w:r>
        <w:t xml:space="preserve"> </w:t>
      </w:r>
      <w:r>
        <w:t xml:space="preserve">Aligned renderings now rank most-attested</w:t>
      </w:r>
      <w:r>
        <w:t xml:space="preserve"> </w:t>
      </w:r>
      <w:r>
        <w:t xml:space="preserve">first with counts (THAMS CAD: all ×30, every ×14, each and every ×10).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Research written up.</w:t>
      </w:r>
      <w:r>
        <w:t xml:space="preserve"> </w:t>
      </w:r>
      <w:r>
        <w:t xml:space="preserve">I surveyed sixteen text-analysis tool families</w:t>
      </w:r>
      <w:r>
        <w:t xml:space="preserve"> </w:t>
      </w:r>
      <w:r>
        <w:t xml:space="preserve">(diff and merge tools, Word and Acrobat document compare, Draftable,</w:t>
      </w:r>
      <w:r>
        <w:t xml:space="preserve"> </w:t>
      </w:r>
      <w:r>
        <w:t xml:space="preserve">folder sync, version control, find-and-replace suites, near-duplicate</w:t>
      </w:r>
      <w:r>
        <w:t xml:space="preserve"> </w:t>
      </w:r>
      <w:r>
        <w:t xml:space="preserve">detection, TRACER text reuse, Voyant statistics, change tracking, patch</w:t>
      </w:r>
      <w:r>
        <w:t xml:space="preserve"> </w:t>
      </w:r>
      <w:r>
        <w:t xml:space="preserve">tools, structured-data compare) and</w:t>
      </w:r>
      <w:r>
        <w:t xml:space="preserve"> </w:t>
      </w:r>
      <w:r>
        <w:rPr>
          <w:b/>
          <w:bCs/>
        </w:rPr>
        <w:t xml:space="preserve">EndNote</w:t>
      </w:r>
      <w:r>
        <w:t xml:space="preserve"> </w:t>
      </w:r>
      <w:r>
        <w:t xml:space="preserve">and Zotero as models for</w:t>
      </w:r>
      <w:r>
        <w:t xml:space="preserve"> </w:t>
      </w:r>
      <w:r>
        <w:t xml:space="preserve">an in-house reference bank. Each feature has a verdict and a Tibetan-</w:t>
      </w:r>
      <w:r>
        <w:t xml:space="preserve"> </w:t>
      </w:r>
      <w:r>
        <w:t xml:space="preserve">translation use; three follow-on batches are planned: document Versions,</w:t>
      </w:r>
      <w:r>
        <w:t xml:space="preserve"> </w:t>
      </w:r>
      <w:r>
        <w:t xml:space="preserve">Replace in Files with preview, Apply Patch; Repeated Passages and</w:t>
      </w:r>
      <w:r>
        <w:t xml:space="preserve"> </w:t>
      </w:r>
      <w:r>
        <w:t xml:space="preserve">similarity studies, a Statistics study view, Entities in a text, table</w:t>
      </w:r>
      <w:r>
        <w:t xml:space="preserve"> </w:t>
      </w:r>
      <w:r>
        <w:t xml:space="preserve">compare; and a References pane with Insert Citation. Design work on all</w:t>
      </w:r>
      <w:r>
        <w:t xml:space="preserve"> </w:t>
      </w:r>
      <w:r>
        <w:t xml:space="preserve">three began the same evening, alongside a study of the monastery and</w:t>
      </w:r>
      <w:r>
        <w:t xml:space="preserve"> </w:t>
      </w:r>
      <w:r>
        <w:t xml:space="preserve">holy-site maps I collected, toward a Map pane in the Research group.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Small things.</w:t>
      </w:r>
      <w:r>
        <w:t xml:space="preserve"> </w:t>
      </w:r>
      <w:r>
        <w:t xml:space="preserve">A dharma-wheel busy cursor while the tool works. Two</w:t>
      </w:r>
      <w:r>
        <w:t xml:space="preserve"> </w:t>
      </w:r>
      <w:r>
        <w:t xml:space="preserve">defects found by the battery were fixed the same hour (a false</w:t>
      </w:r>
      <w:r>
        <w:t xml:space="preserve"> </w:t>
      </w:r>
      <w:r>
        <w:t xml:space="preserve">“corrupt</w:t>
      </w:r>
      <w:r>
        <w:t xml:space="preserve"> </w:t>
      </w:r>
      <w:r>
        <w:t xml:space="preserve">image”</w:t>
      </w:r>
      <w:r>
        <w:t xml:space="preserve"> </w:t>
      </w:r>
      <w:r>
        <w:t xml:space="preserve">verdict in packaging; a shutdown crash in a status-bar hook).</w:t>
      </w:r>
    </w:p>
    <w:bookmarkEnd w:id="30"/>
    <w:bookmarkStart w:id="31" w:name="decisions-i-made-along-the-way"/>
    <w:p>
      <w:pPr>
        <w:pStyle w:val="Heading2"/>
      </w:pPr>
      <w:r>
        <w:t xml:space="preserve">Decisions I made along the way</w:t>
      </w:r>
    </w:p>
    <w:p>
      <w:pPr>
        <w:pStyle w:val="Compact"/>
        <w:numPr>
          <w:ilvl w:val="0"/>
          <w:numId w:val="1006"/>
        </w:numPr>
      </w:pPr>
      <w:r>
        <w:t xml:space="preserve">The style sheet’s rules live as switches in Preferences, so any of them</w:t>
      </w:r>
      <w:r>
        <w:t xml:space="preserve"> </w:t>
      </w:r>
      <w:r>
        <w:t xml:space="preserve">can be turned on or off.</w:t>
      </w:r>
    </w:p>
    <w:p>
      <w:pPr>
        <w:pStyle w:val="Compact"/>
        <w:numPr>
          <w:ilvl w:val="0"/>
          <w:numId w:val="1006"/>
        </w:numPr>
      </w:pPr>
      <w:r>
        <w:t xml:space="preserve">Cover notes for these digests and for technical documents recommend</w:t>
      </w:r>
      <w:r>
        <w:t xml:space="preserve"> </w:t>
      </w:r>
      <w:r>
        <w:t xml:space="preserve">opening the</w:t>
      </w:r>
      <w:r>
        <w:t xml:space="preserve"> </w:t>
      </w:r>
      <w:r>
        <w:rPr>
          <w:b/>
          <w:bCs/>
        </w:rPr>
        <w:t xml:space="preserve">.docx</w:t>
      </w:r>
      <w:r>
        <w:t xml:space="preserve">, which is properly formatted, over the .md and .txt.</w:t>
      </w:r>
    </w:p>
    <w:p>
      <w:pPr>
        <w:pStyle w:val="Compact"/>
        <w:numPr>
          <w:ilvl w:val="0"/>
          <w:numId w:val="1006"/>
        </w:numPr>
      </w:pPr>
      <w:r>
        <w:t xml:space="preserve">Every digest now carries screenshots of what changed and a chart where</w:t>
      </w:r>
      <w:r>
        <w:t xml:space="preserve"> </w:t>
      </w:r>
      <w:r>
        <w:t xml:space="preserve">it explains the numbers, captured by the tool itself so they are</w:t>
      </w:r>
      <w:r>
        <w:t xml:space="preserve"> </w:t>
      </w:r>
      <w:r>
        <w:t xml:space="preserve">reproducible.</w:t>
      </w:r>
    </w:p>
    <w:p>
      <w:pPr>
        <w:pStyle w:val="Compact"/>
        <w:numPr>
          <w:ilvl w:val="0"/>
          <w:numId w:val="1006"/>
        </w:numPr>
      </w:pPr>
      <w:r>
        <w:t xml:space="preserve">New features may get their own tabs, groups or panes wherever that reads</w:t>
      </w:r>
      <w:r>
        <w:t xml:space="preserve"> </w:t>
      </w:r>
      <w:r>
        <w:t xml:space="preserve">most logically, rather than being crammed into existing ones.</w:t>
      </w:r>
    </w:p>
    <w:p>
      <w:pPr>
        <w:pStyle w:val="Compact"/>
        <w:numPr>
          <w:ilvl w:val="0"/>
          <w:numId w:val="1006"/>
        </w:numPr>
      </w:pPr>
      <w:r>
        <w:t xml:space="preserve">The desktop build will be re-pressed once the menu work is complete, not</w:t>
      </w:r>
      <w:r>
        <w:t xml:space="preserve"> </w:t>
      </w:r>
      <w:r>
        <w:t xml:space="preserve">after every batch.</w:t>
      </w:r>
    </w:p>
    <w:p>
      <w:pPr>
        <w:pStyle w:val="Compact"/>
        <w:numPr>
          <w:ilvl w:val="0"/>
          <w:numId w:val="1006"/>
        </w:numPr>
      </w:pPr>
      <w:r>
        <w:t xml:space="preserve">Filed for after the release: a Textual Research workflow (collections,</w:t>
      </w:r>
      <w:r>
        <w:t xml:space="preserve"> </w:t>
      </w:r>
      <w:r>
        <w:t xml:space="preserve">word and variant studies), companion iOS/Android reader apps, Tibetan</w:t>
      </w:r>
      <w:r>
        <w:t xml:space="preserve"> </w:t>
      </w:r>
      <w:r>
        <w:t xml:space="preserve">Buddhist iconography in the interface, and a list of research-suite</w:t>
      </w:r>
      <w:r>
        <w:t xml:space="preserve"> </w:t>
      </w:r>
      <w:r>
        <w:t xml:space="preserve">questions to put to Geshe Michael.</w:t>
      </w:r>
    </w:p>
    <w:bookmarkEnd w:id="31"/>
    <w:bookmarkStart w:id="35" w:name="numbers"/>
    <w:p>
      <w:pPr>
        <w:pStyle w:val="Heading2"/>
      </w:pPr>
      <w:r>
        <w:t xml:space="preserve">Numbers</w:t>
      </w:r>
    </w:p>
    <w:p>
      <w:pPr>
        <w:pStyle w:val="CaptionedFigure"/>
      </w:pPr>
      <w:r>
        <w:drawing>
          <wp:inline>
            <wp:extent cx="5334000" cy="2301240"/>
            <wp:effectExtent b="0" l="0" r="0" t="0"/>
            <wp:docPr descr="Before and after, Monday 13:30 to now. Every count comes from the build itself: menus and pages from the running app, suites from the test runner." title="" id="33" name="Picture"/>
            <a:graphic>
              <a:graphicData uri="http://schemas.openxmlformats.org/drawingml/2006/picture">
                <pic:pic>
                  <pic:nvPicPr>
                    <pic:cNvPr descr="img/2026-09-09/chart-number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and after, Monday 13:30 to now. Every count comes from the build itself: menus and pages from the running app, suites from the test runner.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Monday 13:30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 menus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Preferences pages</w:t>
            </w:r>
          </w:p>
        </w:tc>
        <w:tc>
          <w:tcPr/>
          <w:p>
            <w:pPr>
              <w:pStyle w:val="Compact"/>
            </w:pPr>
            <w:r>
              <w:t xml:space="preserve">4 groups in one dialog</w:t>
            </w:r>
          </w:p>
        </w:tc>
        <w:tc>
          <w:tcPr/>
          <w:p>
            <w:pPr>
              <w:pStyle w:val="Compact"/>
            </w:pPr>
            <w:r>
              <w:t xml:space="preserve">11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25 (Compare)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suites</w:t>
            </w:r>
          </w:p>
        </w:tc>
        <w:tc>
          <w:tcPr/>
          <w:p>
            <w:pPr>
              <w:pStyle w:val="Compact"/>
            </w:pPr>
            <w:r>
              <w:t xml:space="preserve">101, all green</w:t>
            </w:r>
          </w:p>
        </w:tc>
        <w:tc>
          <w:tcPr/>
          <w:p>
            <w:pPr>
              <w:pStyle w:val="Compact"/>
            </w:pPr>
            <w:r>
              <w:t xml:space="preserve">102, all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engine battery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43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self-test checks since Monday’s digest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Headwords whose renderings were out of frequency order</w:t>
            </w:r>
          </w:p>
        </w:tc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35"/>
    <w:bookmarkStart w:id="36" w:name="open-questions-for-leadership"/>
    <w:p>
      <w:pPr>
        <w:pStyle w:val="Heading2"/>
      </w:pPr>
      <w:r>
        <w:t xml:space="preserve">Open questions for leadership</w:t>
      </w:r>
    </w:p>
    <w:p>
      <w:pPr>
        <w:pStyle w:val="Compact"/>
        <w:numPr>
          <w:ilvl w:val="0"/>
          <w:numId w:val="1007"/>
        </w:numPr>
      </w:pPr>
      <w:r>
        <w:t xml:space="preserve">Licence for the project’s own code (unchanged; blocks a public release).</w:t>
      </w:r>
    </w:p>
    <w:p>
      <w:pPr>
        <w:pStyle w:val="Compact"/>
        <w:numPr>
          <w:ilvl w:val="0"/>
          <w:numId w:val="1007"/>
        </w:numPr>
      </w:pPr>
      <w:r>
        <w:t xml:space="preserve">Whether the repository moves to the ALL organisation on GitHub.</w:t>
      </w:r>
    </w:p>
    <w:p>
      <w:pPr>
        <w:pStyle w:val="Compact"/>
        <w:numPr>
          <w:ilvl w:val="0"/>
          <w:numId w:val="1007"/>
        </w:numPr>
      </w:pPr>
      <w:r>
        <w:t xml:space="preserve">Apple Developer ID for a notarised install.</w:t>
      </w:r>
    </w:p>
    <w:p>
      <w:pPr>
        <w:pStyle w:val="Compact"/>
        <w:numPr>
          <w:ilvl w:val="0"/>
          <w:numId w:val="1007"/>
        </w:numPr>
      </w:pPr>
      <w:r>
        <w:t xml:space="preserve">The 24 data layers with open terms.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New:</w:t>
      </w:r>
      <w:r>
        <w:t xml:space="preserve"> </w:t>
      </w:r>
      <w:r>
        <w:t xml:space="preserve">confirmation of the style sheet’s colon and semicolon spacing</w:t>
      </w:r>
      <w:r>
        <w:t xml:space="preserve"> </w:t>
      </w:r>
      <w:r>
        <w:t xml:space="preserve">rules, so I can set the defaults.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New:</w:t>
      </w:r>
      <w:r>
        <w:t xml:space="preserve"> </w:t>
      </w:r>
      <w:r>
        <w:t xml:space="preserve">I will ask Geshe Michael what he wants from the research suite</w:t>
      </w:r>
      <w:r>
        <w:t xml:space="preserve"> </w:t>
      </w:r>
      <w:r>
        <w:t xml:space="preserve">before it is designed in detail.</w:t>
      </w:r>
    </w:p>
    <w:bookmarkEnd w:id="36"/>
    <w:bookmarkStart w:id="37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Press a fresh build; resume the pane-by-pane audit at the Overlay’s</w:t>
      </w:r>
      <w:r>
        <w:t xml:space="preserve"> </w:t>
      </w:r>
      <w:r>
        <w:t xml:space="preserve">Document box; begin the first follow-on compare batch (document Versions,</w:t>
      </w:r>
      <w:r>
        <w:t xml:space="preserve"> </w:t>
      </w:r>
      <w:r>
        <w:t xml:space="preserve">Replace in Files with preview, Apply Patch); finish the Map pane study.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200" w:line="288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200" w:line="288" w:lineRule="auto"/>
    </w:pPr>
  </w:style>
  <w:style w:customStyle="1" w:styleId="FirstParagraph" w:type="paragraph">
    <w:pPr>
      <w:spacing w:after="200" w:line="288" w:lineRule="auto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40" w:line="276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/>
      <w:contextualSpacing/>
      <w:jc w:val="center"/>
    </w:pPr>
    <w:rPr>
      <w:rFonts w:asciiTheme="majorHAnsi" w:cstheme="majorBidi" w:eastAsiaTheme="majorEastAsia" w:hAnsiTheme="majorHAnsi"/>
      <w:szCs w:val="56"/>
      <w:sz w:val="22"/>
      <w:szCs w:val="2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240" w:before="560"/>
      <w:keepNext/>
      <w:keepNext/>
      <w:keepLines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240" w:before="520"/>
      <w:keepNext/>
      <w:keepNext/>
      <w:keepLines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60" w:before="400"/>
      <w:keepNext/>
      <w:keepNext/>
      <w:keepLines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 w:line="276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480" w:before="120"/>
    </w:pPr>
    <w:rPr>
      <w:i/>
    </w:rPr>
  </w:style>
  <w:style w:customStyle="1" w:styleId="TableCaption" w:type="paragraph">
    <w:name w:val="Table Caption"/>
    <w:basedOn w:val="Caption"/>
    <w:pPr>
      <w:spacing w:after="140" w:before="240"/>
      <w:keepNext/>
      <w:keepNext/>
    </w:pPr>
  </w:style>
  <w:style w:customStyle="1" w:styleId="ImageCaption" w:type="paragraph">
    <w:pPr>
      <w:spacing w:after="480" w:before="120"/>
    </w:pPr>
    <w:name w:val="Image Caption"/>
    <w:basedOn w:val="Caption"/>
  </w:style>
  <w:style w:customStyle="1" w:styleId="Figure" w:type="paragraph">
    <w:pPr>
      <w:spacing w:after="120" w:before="440"/>
      <w:keepNext/>
    </w:pPr>
    <w:name w:val="Figure"/>
    <w:basedOn w:val="Normal"/>
  </w:style>
  <w:style w:customStyle="1" w:styleId="CaptionedFigure" w:type="paragraph">
    <w:name w:val="Captioned Figure"/>
    <w:basedOn w:val="Figure"/>
    <w:pPr>
      <w:spacing w:after="120" w:before="440"/>
      <w:keepNext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2026-09-09T06:28:54Z</dcterms:created>
  <dcterms:modified xsi:type="dcterms:W3CDTF">2026-09-09T06:28:54Z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