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423285441af5470cdc9976a4a7d7a485dd4289"/>
    <w:p>
      <w:pPr>
        <w:pStyle w:val="Heading1"/>
      </w:pPr>
      <w:r>
        <w:t xml:space="preserve">What’s new — the 2026-08-20 interface (read this first)</w:t>
      </w:r>
    </w:p>
    <w:p>
      <w:pPr>
        <w:pStyle w:val="FirstParagraph"/>
      </w:pPr>
      <w:r>
        <w:t xml:space="preserve">The tool now wears the</w:t>
      </w:r>
      <w:r>
        <w:t xml:space="preserve"> </w:t>
      </w:r>
      <w:r>
        <w:rPr>
          <w:b/>
          <w:bCs/>
        </w:rPr>
        <w:t xml:space="preserve">Word-style interface</w:t>
      </w:r>
      <w:r>
        <w:t xml:space="preserve"> </w:t>
      </w:r>
      <w:r>
        <w:t xml:space="preserve">you know from</w:t>
      </w:r>
      <w:r>
        <w:t xml:space="preserve"> </w:t>
      </w:r>
      <w:r>
        <w:t xml:space="preserve">Microsoft Office. Everything this manual describes still exists —</w:t>
      </w:r>
      <w:r>
        <w:t xml:space="preserve"> </w:t>
      </w:r>
      <w:r>
        <w:t xml:space="preserve">this chapter tells you where it moved and what joined it.</w:t>
      </w:r>
    </w:p>
    <w:bookmarkStart w:id="9" w:name="the-ribbon-band"/>
    <w:p>
      <w:pPr>
        <w:pStyle w:val="Heading2"/>
      </w:pPr>
      <w:r>
        <w:t xml:space="preserve">The ribbon band</w:t>
      </w:r>
    </w:p>
    <w:p>
      <w:pPr>
        <w:pStyle w:val="FirstParagraph"/>
      </w:pPr>
      <w:r>
        <w:t xml:space="preserve">Under the seven group tabs (Read · Translate · Research · Learn ·</w:t>
      </w:r>
      <w:r>
        <w:t xml:space="preserve"> </w:t>
      </w:r>
      <w:r>
        <w:t xml:space="preserve">Input · Catalog · Community) sits the</w:t>
      </w:r>
      <w:r>
        <w:t xml:space="preserve"> </w:t>
      </w:r>
      <w:r>
        <w:rPr>
          <w:b/>
          <w:bCs/>
        </w:rPr>
        <w:t xml:space="preserve">band</w:t>
      </w:r>
      <w:r>
        <w:t xml:space="preserve">: the current group’s</w:t>
      </w:r>
      <w:r>
        <w:t xml:space="preserve"> </w:t>
      </w:r>
      <w:r>
        <w:t xml:space="preserve">panes on the left (click to switch), then the active pane’s tools as</w:t>
      </w:r>
      <w:r>
        <w:t xml:space="preserve"> </w:t>
      </w:r>
      <w:r>
        <w:rPr>
          <w:b/>
          <w:bCs/>
        </w:rPr>
        <w:t xml:space="preserve">color icons with labels</w:t>
      </w:r>
      <w:r>
        <w:t xml:space="preserve">, gathered into named clusters (DOCUMENT ·</w:t>
      </w:r>
      <w:r>
        <w:t xml:space="preserve"> </w:t>
      </w:r>
      <w:r>
        <w:t xml:space="preserve">REVIEW · SPELLING…). Everything that used to sit in per-pane button</w:t>
      </w:r>
      <w:r>
        <w:t xml:space="preserve"> </w:t>
      </w:r>
      <w:r>
        <w:t xml:space="preserve">rows lives here now.</w:t>
      </w:r>
      <w:r>
        <w:t xml:space="preserve"> </w:t>
      </w:r>
      <w:r>
        <w:rPr>
          <w:i/>
          <w:iCs/>
        </w:rPr>
        <w:t xml:space="preserve">View → ribbon labels</w:t>
      </w:r>
      <w:r>
        <w:t xml:space="preserve"> </w:t>
      </w:r>
      <w:r>
        <w:t xml:space="preserve">toggles the text under</w:t>
      </w:r>
      <w:r>
        <w:t xml:space="preserve"> </w:t>
      </w:r>
      <w:r>
        <w:t xml:space="preserve">the icons.</w:t>
      </w:r>
    </w:p>
    <w:bookmarkEnd w:id="9"/>
    <w:bookmarkStart w:id="10" w:name="the-menu-bar-word-grammar"/>
    <w:p>
      <w:pPr>
        <w:pStyle w:val="Heading2"/>
      </w:pPr>
      <w:r>
        <w:t xml:space="preserve">The menu bar, Word-grammar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</w:t>
      </w:r>
      <w:r>
        <w:t xml:space="preserve"> </w:t>
      </w:r>
      <w:r>
        <w:t xml:space="preserve">— Open ACIP File… · Import Data Release…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— Undo/Redo/Cut/Copy/Paste/Select All/Delete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seven group menus</w:t>
      </w:r>
      <w:r>
        <w:t xml:space="preserve"> </w:t>
      </w:r>
      <w:r>
        <w:t xml:space="preserve">— every pane and its tools, mirrored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— zoom (⌘= / ⌘− / ⌘0), ribbon labels, panes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Help</w:t>
      </w:r>
      <w:r>
        <w:t xml:space="preserve"> </w:t>
      </w:r>
      <w:r>
        <w:t xml:space="preserve">— Tutorials ·</w:t>
      </w:r>
      <w:r>
        <w:t xml:space="preserve"> </w:t>
      </w:r>
      <w:r>
        <w:rPr>
          <w:b/>
          <w:bCs/>
        </w:rPr>
        <w:t xml:space="preserve">Keyboard Shortcuts…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Licenses &amp; Data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Sources…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Usage Ledger…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Check for Updates…</w:t>
      </w:r>
      <w:r>
        <w:t xml:space="preserve"> </w:t>
      </w:r>
      <w:r>
        <w:t xml:space="preserve">·</w:t>
      </w:r>
      <w:r>
        <w:t xml:space="preserve"> </w:t>
      </w:r>
      <w:r>
        <w:t xml:space="preserve">Troubleshooting (logs, diagnostic report,</w:t>
      </w:r>
      <w:r>
        <w:t xml:space="preserve"> </w:t>
      </w:r>
      <w:r>
        <w:rPr>
          <w:b/>
          <w:bCs/>
        </w:rPr>
        <w:t xml:space="preserve">File a Finding…</w:t>
      </w:r>
      <w:r>
        <w:t xml:space="preserve">)</w:t>
      </w:r>
    </w:p>
    <w:bookmarkEnd w:id="10"/>
    <w:bookmarkStart w:id="11" w:name="the-keyboard"/>
    <w:p>
      <w:pPr>
        <w:pStyle w:val="Heading2"/>
      </w:pPr>
      <w:r>
        <w:t xml:space="preserve">The keyboard</w:t>
      </w:r>
    </w:p>
    <w:p>
      <w:pPr>
        <w:pStyle w:val="FirstParagraph"/>
      </w:pPr>
      <w:r>
        <w:rPr>
          <w:b/>
          <w:bCs/>
        </w:rPr>
        <w:t xml:space="preserve">⌘K</w:t>
      </w:r>
      <w:r>
        <w:t xml:space="preserve"> </w:t>
      </w:r>
      <w:r>
        <w:t xml:space="preserve">hunts everything (panes, tools, terms, files).</w:t>
      </w:r>
      <w:r>
        <w:t xml:space="preserve"> </w:t>
      </w:r>
      <w:r>
        <w:rPr>
          <w:b/>
          <w:bCs/>
        </w:rPr>
        <w:t xml:space="preserve">⌘1–⌘7</w:t>
      </w:r>
      <w:r>
        <w:t xml:space="preserve"> </w:t>
      </w:r>
      <w:r>
        <w:t xml:space="preserve">jump</w:t>
      </w:r>
      <w:r>
        <w:t xml:space="preserve"> </w:t>
      </w:r>
      <w:r>
        <w:t xml:space="preserve">to a group;</w:t>
      </w:r>
      <w:r>
        <w:t xml:space="preserve"> </w:t>
      </w:r>
      <w:r>
        <w:rPr>
          <w:b/>
          <w:bCs/>
        </w:rPr>
        <w:t xml:space="preserve">⌘⇧] / ⌘⇧[</w:t>
      </w:r>
      <w:r>
        <w:t xml:space="preserve"> </w:t>
      </w:r>
      <w:r>
        <w:t xml:space="preserve">step through its panes.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peeks the</w:t>
      </w:r>
      <w:r>
        <w:t xml:space="preserve"> </w:t>
      </w:r>
      <w:r>
        <w:t xml:space="preserve">dictionary card for any selected word, anywhere. The full map:</w:t>
      </w:r>
      <w:r>
        <w:t xml:space="preserve"> </w:t>
      </w:r>
      <w:r>
        <w:t xml:space="preserve">Help → Keyboard Shortcuts.</w:t>
      </w:r>
    </w:p>
    <w:bookmarkEnd w:id="11"/>
    <w:bookmarkStart w:id="12" w:name="the-card-made-measurable"/>
    <w:p>
      <w:pPr>
        <w:pStyle w:val="Heading2"/>
      </w:pPr>
      <w:r>
        <w:t xml:space="preserve">The card, made measurable</w:t>
      </w:r>
    </w:p>
    <w:p>
      <w:pPr>
        <w:pStyle w:val="FirstParagraph"/>
      </w:pPr>
      <w:r>
        <w:t xml:space="preserve">Every evidence section on the word card now shows its</w:t>
      </w:r>
      <w:r>
        <w:t xml:space="preserve"> </w:t>
      </w:r>
      <w:r>
        <w:rPr>
          <w:b/>
          <w:bCs/>
        </w:rPr>
        <w:t xml:space="preserve">true count</w:t>
      </w:r>
      <w:r>
        <w:t xml:space="preserve"> </w:t>
      </w:r>
      <w:r>
        <w:t xml:space="preserve">(</w:t>
      </w:r>
      <w:r>
        <w:t xml:space="preserve">“3 of 41 · show all”</w:t>
      </w:r>
      <w:r>
        <w:t xml:space="preserve">), wears an</w:t>
      </w:r>
      <w:r>
        <w:t xml:space="preserve"> </w:t>
      </w:r>
      <w:r>
        <w:rPr>
          <w:b/>
          <w:bCs/>
        </w:rPr>
        <w:t xml:space="preserve">epistemic badge</w:t>
      </w:r>
      <w:r>
        <w:t xml:space="preserve"> </w:t>
      </w:r>
      <w:r>
        <w:t xml:space="preserve">(HGM ·</w:t>
      </w:r>
      <w:r>
        <w:t xml:space="preserve"> </w:t>
      </w:r>
      <w:r>
        <w:t xml:space="preserve">EVIDENCE · REFERENCE · MACHINE · AI) so you always know who is</w:t>
      </w:r>
      <w:r>
        <w:t xml:space="preserve"> </w:t>
      </w:r>
      <w:r>
        <w:t xml:space="preserve">speaking, marks every truncation with an honest</w:t>
      </w:r>
      <w:r>
        <w:t xml:space="preserve"> </w:t>
      </w:r>
      <w:r>
        <w:t xml:space="preserve">“…”</w:t>
      </w:r>
      <w:r>
        <w:t xml:space="preserve">, and offers</w:t>
      </w:r>
      <w:r>
        <w:t xml:space="preserve"> </w:t>
      </w:r>
      <w:r>
        <w:rPr>
          <w:b/>
          <w:bCs/>
        </w:rPr>
        <w:t xml:space="preserve">presets</w:t>
      </w:r>
      <w:r>
        <w:t xml:space="preserve"> </w:t>
      </w:r>
      <w:r>
        <w:t xml:space="preserve">(reading · research · minimal) above the layer toggles.</w:t>
      </w:r>
      <w:r>
        <w:t xml:space="preserve"> </w:t>
      </w:r>
      <w:r>
        <w:t xml:space="preserve">Search results link every searched term straight to its card</w:t>
      </w:r>
      <w:r>
        <w:t xml:space="preserve"> </w:t>
      </w:r>
      <w:r>
        <w:t xml:space="preserve">(</w:t>
      </w:r>
      <w:r>
        <w:t xml:space="preserve">“look up: …”</w:t>
      </w:r>
      <w:r>
        <w:t xml:space="preserve">).</w:t>
      </w:r>
    </w:p>
    <w:bookmarkEnd w:id="12"/>
    <w:bookmarkStart w:id="13" w:name="first-launch-safety-nets"/>
    <w:p>
      <w:pPr>
        <w:pStyle w:val="Heading2"/>
      </w:pPr>
      <w:r>
        <w:t xml:space="preserve">First launch &amp; safety nets</w:t>
      </w:r>
    </w:p>
    <w:p>
      <w:pPr>
        <w:pStyle w:val="FirstParagraph"/>
      </w:pPr>
      <w:r>
        <w:t xml:space="preserve">A first run opens a demo text with a three-line welcome. Every real</w:t>
      </w:r>
      <w:r>
        <w:t xml:space="preserve"> </w:t>
      </w:r>
      <w:r>
        <w:t xml:space="preserve">launch quietly backs up the shared team stores (proposals, roster) —</w:t>
      </w:r>
      <w:r>
        <w:t xml:space="preserve"> </w:t>
      </w:r>
      <w:r>
        <w:t xml:space="preserve">14 dated copies in Application Support. If Dropbox ever forks the</w:t>
      </w:r>
      <w:r>
        <w:t xml:space="preserve"> </w:t>
      </w:r>
      <w:r>
        <w:t xml:space="preserve">proposals file, the Approval pane says so by name and absorbs the</w:t>
      </w:r>
      <w:r>
        <w:t xml:space="preserve"> </w:t>
      </w:r>
      <w:r>
        <w:t xml:space="preserve">new rows; nothing is merged by guess.</w:t>
      </w:r>
    </w:p>
    <w:bookmarkEnd w:id="13"/>
    <w:bookmarkStart w:id="14" w:name="where-to-complain"/>
    <w:p>
      <w:pPr>
        <w:pStyle w:val="Heading2"/>
      </w:pPr>
      <w:r>
        <w:t xml:space="preserve">Where to complain</w:t>
      </w:r>
    </w:p>
    <w:p>
      <w:pPr>
        <w:pStyle w:val="FirstParagraph"/>
      </w:pPr>
      <w:r>
        <w:t xml:space="preserve">Help → Troubleshooting →</w:t>
      </w:r>
      <w:r>
        <w:t xml:space="preserve"> </w:t>
      </w:r>
      <w:r>
        <w:rPr>
          <w:b/>
          <w:bCs/>
        </w:rPr>
        <w:t xml:space="preserve">File a Finding…</w:t>
      </w:r>
      <w:r>
        <w:t xml:space="preserve"> </w:t>
      </w:r>
      <w:r>
        <w:t xml:space="preserve">drops a timestamped,</w:t>
      </w:r>
      <w:r>
        <w:t xml:space="preserve"> </w:t>
      </w:r>
      <w:r>
        <w:t xml:space="preserve">version-stamped entry into the team’s findings inbox and opens it —</w:t>
      </w:r>
      <w:r>
        <w:t xml:space="preserve"> </w:t>
      </w:r>
      <w:r>
        <w:t xml:space="preserve">one click from</w:t>
      </w:r>
      <w:r>
        <w:t xml:space="preserve"> </w:t>
      </w:r>
      <w:r>
        <w:t xml:space="preserve">“something’s off”</w:t>
      </w:r>
      <w:r>
        <w:t xml:space="preserve"> </w:t>
      </w:r>
      <w:r>
        <w:t xml:space="preserve">to</w:t>
      </w:r>
      <w:r>
        <w:t xml:space="preserve"> </w:t>
      </w:r>
      <w:r>
        <w:t xml:space="preserve">“it’s on the record.”</w:t>
      </w:r>
    </w:p>
    <w:p>
      <w:pPr>
        <w:pStyle w:val="BodyText"/>
      </w:pPr>
      <w:r>
        <w:rPr>
          <w:i/>
          <w:iCs/>
        </w:rPr>
        <w:t xml:space="preserve">The chapters below predate the band: their tool NAMES are unchanged,</w:t>
      </w:r>
      <w:r>
        <w:rPr>
          <w:i/>
          <w:iCs/>
        </w:rPr>
        <w:t xml:space="preserve"> </w:t>
      </w:r>
      <w:r>
        <w:rPr>
          <w:i/>
          <w:iCs/>
        </w:rPr>
        <w:t xml:space="preserve">but a control described</w:t>
      </w:r>
      <w:r>
        <w:rPr>
          <w:i/>
          <w:iCs/>
        </w:rPr>
        <w:t xml:space="preserve"> </w:t>
      </w:r>
      <w:r>
        <w:rPr>
          <w:i/>
          <w:iCs/>
        </w:rPr>
        <w:t xml:space="preserve">“in the pane’s button row”</w:t>
      </w:r>
      <w:r>
        <w:rPr>
          <w:i/>
          <w:iCs/>
        </w:rPr>
        <w:t xml:space="preserve"> </w:t>
      </w:r>
      <w:r>
        <w:rPr>
          <w:i/>
          <w:iCs/>
        </w:rPr>
        <w:t xml:space="preserve">now lives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band. New screenshots arrive with the full 9i revamp.</w:t>
      </w:r>
    </w:p>
    <w:bookmarkEnd w:id="14"/>
    <w:bookmarkEnd w:id="15"/>
    <w:bookmarkStart w:id="17" w:name="X0db3da75bc7a54e11882035f26a78ccd5155353"/>
    <w:p>
      <w:pPr>
        <w:pStyle w:val="Heading1"/>
      </w:pPr>
      <w:r>
        <w:t xml:space="preserve">The Diamond Cutter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Diamond Cutter Help &amp; Tutorials.</w:t>
      </w:r>
    </w:p>
    <w:bookmarkStart w:id="16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3"/>
        </w:numPr>
      </w:pPr>
      <w:r>
        <w:t xml:space="preserve">Overlay</w:t>
      </w:r>
    </w:p>
    <w:p>
      <w:pPr>
        <w:pStyle w:val="Compact"/>
        <w:numPr>
          <w:ilvl w:val="1"/>
          <w:numId w:val="1003"/>
        </w:numPr>
      </w:pPr>
      <w:r>
        <w:t xml:space="preserve">Library</w:t>
      </w:r>
    </w:p>
    <w:p>
      <w:pPr>
        <w:pStyle w:val="Compact"/>
        <w:numPr>
          <w:ilvl w:val="1"/>
          <w:numId w:val="1003"/>
        </w:numPr>
      </w:pPr>
      <w:r>
        <w:t xml:space="preserve">Files</w:t>
      </w:r>
    </w:p>
    <w:p>
      <w:pPr>
        <w:pStyle w:val="Compact"/>
        <w:numPr>
          <w:ilvl w:val="1"/>
          <w:numId w:val="1003"/>
        </w:numPr>
      </w:pPr>
      <w:r>
        <w:t xml:space="preserve">Manuscript</w:t>
      </w:r>
    </w:p>
    <w:p>
      <w:pPr>
        <w:pStyle w:val="Compact"/>
        <w:numPr>
          <w:ilvl w:val="1"/>
          <w:numId w:val="1003"/>
        </w:numPr>
      </w:pPr>
      <w:r>
        <w:t xml:space="preserve">Draft</w:t>
      </w:r>
    </w:p>
    <w:p>
      <w:pPr>
        <w:pStyle w:val="Compact"/>
        <w:numPr>
          <w:ilvl w:val="1"/>
          <w:numId w:val="1003"/>
        </w:numPr>
      </w:pPr>
      <w:r>
        <w:t xml:space="preserve">Review</w:t>
      </w:r>
    </w:p>
    <w:p>
      <w:pPr>
        <w:pStyle w:val="Compact"/>
        <w:numPr>
          <w:ilvl w:val="1"/>
          <w:numId w:val="1003"/>
        </w:numPr>
      </w:pPr>
      <w:r>
        <w:t xml:space="preserve">Align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4"/>
        </w:numPr>
      </w:pPr>
      <w:r>
        <w:t xml:space="preserve">Search (Gofer)</w:t>
      </w:r>
    </w:p>
    <w:p>
      <w:pPr>
        <w:pStyle w:val="Compact"/>
        <w:numPr>
          <w:ilvl w:val="1"/>
          <w:numId w:val="1004"/>
        </w:numPr>
      </w:pPr>
      <w:r>
        <w:t xml:space="preserve">Lookup</w:t>
      </w:r>
    </w:p>
    <w:p>
      <w:pPr>
        <w:pStyle w:val="Compact"/>
        <w:numPr>
          <w:ilvl w:val="1"/>
          <w:numId w:val="1004"/>
        </w:numPr>
      </w:pPr>
      <w:r>
        <w:t xml:space="preserve">Sanskrit</w:t>
      </w:r>
    </w:p>
    <w:p>
      <w:pPr>
        <w:pStyle w:val="Compact"/>
        <w:numPr>
          <w:ilvl w:val="1"/>
          <w:numId w:val="1004"/>
        </w:numPr>
      </w:pPr>
      <w:r>
        <w:t xml:space="preserve">Convert</w:t>
      </w:r>
    </w:p>
    <w:p>
      <w:pPr>
        <w:pStyle w:val="Compact"/>
        <w:numPr>
          <w:ilvl w:val="1"/>
          <w:numId w:val="1004"/>
        </w:numPr>
      </w:pPr>
      <w:r>
        <w:t xml:space="preserve">Analysis</w:t>
      </w:r>
    </w:p>
    <w:p>
      <w:pPr>
        <w:pStyle w:val="Compact"/>
        <w:numPr>
          <w:ilvl w:val="1"/>
          <w:numId w:val="1004"/>
        </w:numPr>
      </w:pPr>
      <w:r>
        <w:t xml:space="preserve">Trainer</w:t>
      </w:r>
    </w:p>
    <w:p>
      <w:pPr>
        <w:pStyle w:val="Compact"/>
        <w:numPr>
          <w:ilvl w:val="1"/>
          <w:numId w:val="1004"/>
        </w:numPr>
      </w:pPr>
      <w:r>
        <w:t xml:space="preserve">Drills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5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5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5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5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5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5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5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6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6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6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6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6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6"/>
        </w:numPr>
      </w:pPr>
      <w:r>
        <w:t xml:space="preserve">13.6 Save to ocr_out…</w:t>
      </w:r>
    </w:p>
    <w:p>
      <w:pPr>
        <w:pStyle w:val="Compact"/>
        <w:numPr>
          <w:ilvl w:val="1"/>
          <w:numId w:val="1006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7"/>
        </w:numPr>
      </w:pPr>
      <w:r>
        <w:t xml:space="preserve">14.1 Choosing the folders</w:t>
      </w:r>
    </w:p>
    <w:p>
      <w:pPr>
        <w:pStyle w:val="Compact"/>
        <w:numPr>
          <w:ilvl w:val="1"/>
          <w:numId w:val="1007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7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7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7"/>
        </w:numPr>
      </w:pPr>
      <w:r>
        <w:t xml:space="preserve">14.5 The bibliography audit</w:t>
      </w:r>
    </w:p>
    <w:p>
      <w:pPr>
        <w:pStyle w:val="Compact"/>
        <w:numPr>
          <w:ilvl w:val="1"/>
          <w:numId w:val="1007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7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7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7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7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7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7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7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7"/>
        </w:numPr>
      </w:pPr>
      <w:r>
        <w:t xml:space="preserve">14.14 The change-log stamp</w:t>
      </w:r>
    </w:p>
    <w:p>
      <w:pPr>
        <w:pStyle w:val="Compact"/>
        <w:numPr>
          <w:ilvl w:val="1"/>
          <w:numId w:val="1007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7"/>
        </w:numPr>
      </w:pPr>
      <w:r>
        <w:t xml:space="preserve">14.16 The worksheet</w:t>
      </w:r>
    </w:p>
    <w:p>
      <w:pPr>
        <w:pStyle w:val="Compact"/>
        <w:numPr>
          <w:ilvl w:val="1"/>
          <w:numId w:val="1007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7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7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7"/>
        </w:numPr>
      </w:pPr>
      <w:r>
        <w:t xml:space="preserve">14.20 In-house access — sign in, stage, approve</w:t>
      </w:r>
    </w:p>
    <w:p>
      <w:pPr>
        <w:pStyle w:val="Compact"/>
        <w:numPr>
          <w:ilvl w:val="1"/>
          <w:numId w:val="1007"/>
        </w:numPr>
      </w:pPr>
      <w:r>
        <w:t xml:space="preserve">14.21 What the workflow will do next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8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8"/>
        </w:numPr>
      </w:pPr>
      <w:r>
        <w:t xml:space="preserve">15.2 Making a proposal</w:t>
      </w:r>
    </w:p>
    <w:p>
      <w:pPr>
        <w:pStyle w:val="Compact"/>
        <w:numPr>
          <w:ilvl w:val="1"/>
          <w:numId w:val="1008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8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9"/>
        </w:numPr>
      </w:pPr>
      <w:r>
        <w:t xml:space="preserve">16.1 Reading the queue</w:t>
      </w:r>
    </w:p>
    <w:p>
      <w:pPr>
        <w:pStyle w:val="Compact"/>
        <w:numPr>
          <w:ilvl w:val="1"/>
          <w:numId w:val="1009"/>
        </w:numPr>
      </w:pPr>
      <w:r>
        <w:t xml:space="preserve">16.2 Ruling on an item</w:t>
      </w:r>
    </w:p>
    <w:p>
      <w:pPr>
        <w:pStyle w:val="Compact"/>
        <w:numPr>
          <w:ilvl w:val="1"/>
          <w:numId w:val="1009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9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9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9"/>
        </w:numPr>
      </w:pPr>
      <w:r>
        <w:t xml:space="preserve">16.6 The Rulings archive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10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10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10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10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10"/>
        </w:numPr>
      </w:pPr>
      <w:r>
        <w:t xml:space="preserve">17.5 The Help window</w:t>
      </w:r>
    </w:p>
    <w:p>
      <w:pPr>
        <w:pStyle w:val="Compact"/>
        <w:numPr>
          <w:ilvl w:val="1"/>
          <w:numId w:val="1010"/>
        </w:numPr>
      </w:pPr>
      <w:r>
        <w:t xml:space="preserve">17.6 Night mode</w:t>
      </w:r>
    </w:p>
    <w:p>
      <w:pPr>
        <w:pStyle w:val="Compact"/>
        <w:numPr>
          <w:ilvl w:val="1"/>
          <w:numId w:val="1010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10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10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10"/>
        </w:numPr>
      </w:pPr>
      <w:r>
        <w:t xml:space="preserve">17.10 Hunt Everywhere (⌘K)</w:t>
      </w:r>
    </w:p>
    <w:bookmarkEnd w:id="16"/>
    <w:bookmarkEnd w:id="17"/>
    <w:bookmarkStart w:id="78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Diamond Cutter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31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8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8"/>
    <w:bookmarkStart w:id="19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3"/>
        </w:numPr>
      </w:pPr>
      <w:r>
        <w:t xml:space="preserve">Click Read → Library.</w:t>
      </w:r>
    </w:p>
    <w:p>
      <w:pPr>
        <w:pStyle w:val="Compact"/>
        <w:numPr>
          <w:ilvl w:val="1"/>
          <w:numId w:val="1013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4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4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9"/>
    <w:bookmarkStart w:id="20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5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5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5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20"/>
    <w:bookmarkStart w:id="21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21"/>
    <w:bookmarkStart w:id="22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22"/>
    <w:bookmarkStart w:id="23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Geshe Michael Roach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23"/>
    <w:bookmarkStart w:id="24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1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1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24"/>
    <w:bookmarkStart w:id="25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2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25"/>
    <w:bookmarkStart w:id="26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3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3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Text DNA (structure strip)…</w:t>
      </w:r>
      <w:r>
        <w:t xml:space="preserve"> </w:t>
      </w:r>
      <w:r>
        <w:t xml:space="preserve">— the whole text’s shape in one</w:t>
      </w:r>
      <w:r>
        <w:t xml:space="preserve"> </w:t>
      </w:r>
      <w:r>
        <w:t xml:space="preserve">picture: each source line is one colored column — gold on the</w:t>
      </w:r>
      <w:r>
        <w:t xml:space="preserve"> </w:t>
      </w:r>
      <w:r>
        <w:t xml:space="preserve">dominant meter, vermilion for a verse line off the meter, grey for</w:t>
      </w:r>
      <w:r>
        <w:t xml:space="preserve"> </w:t>
      </w:r>
      <w:r>
        <w:t xml:space="preserve">prose, pale for blank, with a green tick over lines carrying a</w:t>
      </w:r>
      <w:r>
        <w:t xml:space="preserve"> </w:t>
      </w:r>
      <w:r>
        <w:t xml:space="preserve">quote announcement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verb). The summary line</w:t>
      </w:r>
      <w:r>
        <w:t xml:space="preserve"> </w:t>
      </w:r>
      <w:r>
        <w:t xml:space="preserve">gives the counts; hover for any line’s number and syllables; click</w:t>
      </w:r>
      <w:r>
        <w:t xml:space="preserve"> </w:t>
      </w:r>
      <w:r>
        <w:t xml:space="preserve">anywhere and the document jumps there. Pure measurement — the</w:t>
      </w:r>
      <w:r>
        <w:t xml:space="preserve"> </w:t>
      </w:r>
      <w:r>
        <w:t xml:space="preserve">strip shows only what the syllable arithmetic and the quote</w:t>
      </w:r>
      <w:r>
        <w:t xml:space="preserve"> </w:t>
      </w:r>
      <w:r>
        <w:t xml:space="preserve">grammar actually found.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26"/>
    <w:bookmarkStart w:id="27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4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4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4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5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p>
      <w:pPr>
        <w:pStyle w:val="BodyText"/>
      </w:pPr>
      <w:r>
        <w:rPr>
          <w:b/>
          <w:bCs/>
        </w:rPr>
        <w:t xml:space="preserve">English on the carving (hover).</w:t>
      </w:r>
      <w:r>
        <w:t xml:space="preserve"> </w:t>
      </w:r>
      <w:r>
        <w:t xml:space="preserve">Once locate-word has run on a</w:t>
      </w:r>
      <w:r>
        <w:t xml:space="preserve"> </w:t>
      </w:r>
      <w:r>
        <w:t xml:space="preserve">side, hovering any word</w:t>
      </w:r>
      <w:r>
        <w:t xml:space="preserve"> </w:t>
      </w:r>
      <w:r>
        <w:rPr>
          <w:i/>
          <w:iCs/>
        </w:rPr>
        <w:t xml:space="preserve">on the woodblock image</w:t>
      </w:r>
      <w:r>
        <w:t xml:space="preserve"> </w:t>
      </w:r>
      <w:r>
        <w:t xml:space="preserve">shows a small tip:</w:t>
      </w:r>
      <w:r>
        <w:t xml:space="preserve"> </w:t>
      </w:r>
      <w:r>
        <w:t xml:space="preserve">the OCR-read wylie and Geshe Michael’s English for that word (when</w:t>
      </w:r>
      <w:r>
        <w:t xml:space="preserve"> </w:t>
      </w:r>
      <w:r>
        <w:t xml:space="preserve">the dictionary carries it). The tip always says what it is —</w:t>
      </w:r>
      <w:r>
        <w:t xml:space="preserve"> </w:t>
      </w:r>
      <w:r>
        <w:t xml:space="preserve">OCR-read from the carving, review material, never text. Hovering</w:t>
      </w:r>
      <w:r>
        <w:t xml:space="preserve"> </w:t>
      </w:r>
      <w:r>
        <w:t xml:space="preserve">never starts an OCR run by itself; the boxes come from the</w:t>
      </w:r>
      <w:r>
        <w:t xml:space="preserve"> </w:t>
      </w:r>
      <w:r>
        <w:t xml:space="preserve">locate-word pass you already ran.</w:t>
      </w:r>
    </w:p>
    <w:bookmarkEnd w:id="27"/>
    <w:bookmarkStart w:id="28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8"/>
    <w:bookmarkStart w:id="29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8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8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8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8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8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9"/>
    <w:bookmarkStart w:id="30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30"/>
    <w:bookmarkEnd w:id="31"/>
    <w:bookmarkStart w:id="37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32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32"/>
    <w:bookmarkStart w:id="33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2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2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33"/>
    <w:bookmarkStart w:id="34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3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3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3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3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34"/>
    <w:bookmarkStart w:id="35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35"/>
    <w:bookmarkStart w:id="36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36"/>
    <w:bookmarkEnd w:id="37"/>
    <w:bookmarkStart w:id="55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8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8"/>
    <w:bookmarkStart w:id="39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9"/>
    <w:bookmarkStart w:id="40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40"/>
    <w:bookmarkStart w:id="41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41"/>
    <w:bookmarkStart w:id="42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42"/>
    <w:bookmarkStart w:id="43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43"/>
    <w:bookmarkStart w:id="44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44"/>
    <w:bookmarkStart w:id="45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45"/>
    <w:bookmarkStart w:id="46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46"/>
    <w:bookmarkStart w:id="47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7"/>
    <w:bookmarkStart w:id="48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8"/>
    <w:bookmarkStart w:id="49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9"/>
    <w:bookmarkStart w:id="50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50"/>
    <w:bookmarkStart w:id="51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51"/>
    <w:bookmarkStart w:id="52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52"/>
    <w:bookmarkStart w:id="53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53"/>
    <w:bookmarkStart w:id="54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54"/>
    <w:bookmarkEnd w:id="55"/>
    <w:bookmarkStart w:id="59" w:name="manuscript"/>
    <w:p>
      <w:pPr>
        <w:pStyle w:val="Heading2"/>
      </w:pPr>
      <w:r>
        <w:t xml:space="preserve">Manuscript</w:t>
      </w:r>
    </w:p>
    <w:p>
      <w:pPr>
        <w:pStyle w:val="BlockText"/>
      </w:pPr>
      <w:r>
        <w:rPr>
          <w:b/>
          <w:bCs/>
        </w:rPr>
        <w:t xml:space="preserve">House styles (2026-08-20).</w:t>
      </w:r>
      <w:r>
        <w:t xml:space="preserve"> </w:t>
      </w:r>
      <w:r>
        <w:t xml:space="preserve">The Manuscript bar is now a ribbon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HOUSE STYLES</w:t>
      </w:r>
      <w:r>
        <w:t xml:space="preserve"> </w:t>
      </w:r>
      <w:r>
        <w:t xml:space="preserve">gallery — Body, Heading, Section, Verse,</w:t>
      </w:r>
      <w:r>
        <w:t xml:space="preserve"> </w:t>
      </w:r>
      <w:r>
        <w:t xml:space="preserve">Colophon — each button previewing its own look. Select paragraphs</w:t>
      </w:r>
      <w:r>
        <w:t xml:space="preserve"> </w:t>
      </w:r>
      <w:r>
        <w:t xml:space="preserve">and click: the style applies (indent, weight, size, italics per</w:t>
      </w:r>
      <w:r>
        <w:t xml:space="preserve"> </w:t>
      </w:r>
      <w:r>
        <w:t xml:space="preserve">the published books’ grammar) and the RTF export carries it.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56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56"/>
    <w:bookmarkStart w:id="57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8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9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9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7"/>
    <w:bookmarkStart w:id="58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40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4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4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40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8"/>
    <w:bookmarkEnd w:id="59"/>
    <w:bookmarkStart w:id="69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60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60"/>
    <w:bookmarkStart w:id="61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3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3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3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the card first states how many corpus segments</w:t>
      </w:r>
      <w:r>
        <w:t xml:space="preserve"> </w:t>
      </w:r>
      <w:r>
        <w:t xml:space="preserve">contain the term (the measured total, never a page count), then</w:t>
      </w:r>
      <w:r>
        <w:t xml:space="preserve"> </w:t>
      </w:r>
      <w:r>
        <w:t xml:space="preserve">shows the opening few with Geshe Michael’s English beside each.</w:t>
      </w:r>
      <w:r>
        <w:t xml:space="preserve"> </w:t>
      </w:r>
      <w:r>
        <w:t xml:space="preserve">When more exist than the card can list, it says how many are</w:t>
      </w:r>
      <w:r>
        <w:t xml:space="preserve"> </w:t>
      </w:r>
      <w:r>
        <w:t xml:space="preserve">being shown and how many there are, and the per-course breakdown</w:t>
      </w:r>
      <w:r>
        <w:t xml:space="preserve"> </w:t>
      </w:r>
      <w:r>
        <w:t xml:space="preserve">beneath says which rows it was computed over. Narrow the term to</w:t>
      </w:r>
      <w:r>
        <w:t xml:space="preserve"> </w:t>
      </w:r>
      <w:r>
        <w:t xml:space="preserve">reach the rest.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 clause’s anchors.</w:t>
      </w:r>
    </w:p>
    <w:p>
      <w:pPr>
        <w:pStyle w:val="Compact"/>
        <w:numPr>
          <w:ilvl w:val="0"/>
          <w:numId w:val="1043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61"/>
    <w:bookmarkStart w:id="62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4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62"/>
    <w:bookmarkStart w:id="63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63"/>
    <w:bookmarkStart w:id="64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5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5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how many prior renderings of those words exist —</w:t>
      </w:r>
      <w:r>
        <w:t xml:space="preserve"> </w:t>
      </w:r>
      <w:r>
        <w:t xml:space="preserve">the measured count of segments 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 </w:t>
      </w:r>
      <w:r>
        <w:t xml:space="preserve">—</w:t>
      </w:r>
      <w:r>
        <w:t xml:space="preserve"> </w:t>
      </w:r>
      <w:r>
        <w:t xml:space="preserve">and the opening twelve of them,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When the corpus holds more than are listed, the card</w:t>
      </w:r>
      <w:r>
        <w:t xml:space="preserve"> </w:t>
      </w:r>
      <w:r>
        <w:t xml:space="preserve">says how many.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64"/>
    <w:bookmarkStart w:id="65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65"/>
    <w:bookmarkStart w:id="66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66"/>
    <w:bookmarkStart w:id="67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7"/>
    <w:bookmarkStart w:id="68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A third route (also</w:t>
      </w:r>
      <w:r>
        <w:t xml:space="preserve"> </w:t>
      </w:r>
      <w:r>
        <w:t xml:space="preserve">2026-08-20) adds</w:t>
      </w:r>
      <w:r>
        <w:t xml:space="preserve"> </w:t>
      </w:r>
      <w:r>
        <w:rPr>
          <w:b/>
          <w:bCs/>
        </w:rPr>
        <w:t xml:space="preserve">passage evidence</w:t>
      </w:r>
      <w:r>
        <w:t xml:space="preserve"> </w:t>
      </w:r>
      <w:r>
        <w:t xml:space="preserve">for notes from the three</w:t>
      </w:r>
      <w:r>
        <w:t xml:space="preserve"> </w:t>
      </w:r>
      <w:r>
        <w:t xml:space="preserve">published single-book sources: where the lemma appears verbatim in</w:t>
      </w:r>
      <w:r>
        <w:t xml:space="preserve"> </w:t>
      </w:r>
      <w:r>
        <w:t xml:space="preserve">the published English of the note’s</w:t>
      </w:r>
      <w:r>
        <w:t xml:space="preserve"> </w:t>
      </w:r>
      <w:r>
        <w:rPr>
          <w:i/>
          <w:iCs/>
        </w:rPr>
        <w:t xml:space="preserve">own work</w:t>
      </w:r>
      <w:r>
        <w:t xml:space="preserve"> </w:t>
      </w:r>
      <w:r>
        <w:t xml:space="preserve">(the aligned corpus</w:t>
      </w:r>
      <w:r>
        <w:t xml:space="preserve"> </w:t>
      </w:r>
      <w:r>
        <w:t xml:space="preserve">carries each book under one course), the matching passages appear</w:t>
      </w:r>
      <w:r>
        <w:t xml:space="preserve"> </w:t>
      </w:r>
      <w:r>
        <w:t xml:space="preserve">under</w:t>
      </w:r>
      <w:r>
        <w:t xml:space="preserve"> </w:t>
      </w:r>
      <w:r>
        <w:t xml:space="preserve">“WHERE HIS PUBLISHED ENGLISH USES THIS LEMMA”</w:t>
      </w:r>
      <w:r>
        <w:t xml:space="preserve"> </w:t>
      </w:r>
      <w:r>
        <w:t xml:space="preserve">— explicitly</w:t>
      </w:r>
      <w:r>
        <w:t xml:space="preserve"> </w:t>
      </w:r>
      <w:r>
        <w:t xml:space="preserve">the passage, never a term equivalence; you read the Tibetan</w:t>
      </w:r>
      <w:r>
        <w:t xml:space="preserve"> </w:t>
      </w:r>
      <w:r>
        <w:t xml:space="preserve">yourself. 444 of the 2,234 notes carry candidates today; the rest</w:t>
      </w:r>
      <w:r>
        <w:t xml:space="preserve"> </w:t>
      </w:r>
      <w:r>
        <w:t xml:space="preserve">stay honestly bare rather than guessed at.</w:t>
      </w:r>
    </w:p>
    <w:bookmarkEnd w:id="68"/>
    <w:bookmarkEnd w:id="69"/>
    <w:bookmarkStart w:id="72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70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9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9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9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70"/>
    <w:bookmarkStart w:id="71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71"/>
    <w:bookmarkEnd w:id="72"/>
    <w:bookmarkStart w:id="77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73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73"/>
    <w:bookmarkStart w:id="74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1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1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74"/>
    <w:bookmarkStart w:id="75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75"/>
    <w:bookmarkStart w:id="76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76"/>
    <w:bookmarkEnd w:id="77"/>
    <w:bookmarkEnd w:id="78"/>
    <w:bookmarkStart w:id="106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Diamond Cutter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84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9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9"/>
    <w:bookmarkStart w:id="80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8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8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8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8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9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9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9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80"/>
    <w:bookmarkStart w:id="81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60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6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60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81"/>
    <w:bookmarkStart w:id="82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82"/>
    <w:bookmarkStart w:id="83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85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85"/>
    <w:bookmarkStart w:id="86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3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3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3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3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86"/>
    <w:bookmarkStart w:id="87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5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7"/>
    <w:bookmarkEnd w:id="88"/>
    <w:bookmarkStart w:id="91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9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9"/>
    <w:bookmarkStart w:id="90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7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70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70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92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92"/>
    <w:bookmarkStart w:id="93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93"/>
    <w:bookmarkEnd w:id="94"/>
    <w:bookmarkStart w:id="99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95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95"/>
    <w:bookmarkStart w:id="96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5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5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96"/>
    <w:bookmarkStart w:id="97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6"/>
        </w:numPr>
      </w:pPr>
      <w:r>
        <w:t xml:space="preserve">Source (as given)</w:t>
      </w:r>
    </w:p>
    <w:p>
      <w:pPr>
        <w:pStyle w:val="Compact"/>
        <w:numPr>
          <w:ilvl w:val="0"/>
          <w:numId w:val="1076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6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6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6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6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6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6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6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6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6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6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6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6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6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6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6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6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7"/>
    <w:bookmarkStart w:id="98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7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7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7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100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100"/>
    <w:bookmarkStart w:id="101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103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103"/>
    <w:bookmarkStart w:id="104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104"/>
    <w:bookmarkEnd w:id="105"/>
    <w:bookmarkEnd w:id="106"/>
    <w:bookmarkStart w:id="107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Diamond Cutter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7"/>
    <w:bookmarkStart w:id="116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8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8"/>
    <w:bookmarkStart w:id="109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2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2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2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2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9"/>
    <w:bookmarkStart w:id="110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BlockText"/>
      </w:pPr>
      <w:r>
        <w:rPr>
          <w:b/>
          <w:bCs/>
        </w:rPr>
        <w:t xml:space="preserve">The folio strip (2026-08-20).</w:t>
      </w:r>
      <w:r>
        <w:t xml:space="preserve"> </w:t>
      </w:r>
      <w:r>
        <w:t xml:space="preserve">In block mode a thumbnail rail</w:t>
      </w:r>
      <w:r>
        <w:t xml:space="preserve"> </w:t>
      </w:r>
      <w:r>
        <w:t xml:space="preserve">runs beneath the editor — every page of the block as a small</w:t>
      </w:r>
      <w:r>
        <w:t xml:space="preserve"> </w:t>
      </w:r>
      <w:r>
        <w:t xml:space="preserve">image, a ✓ on pages that already carry typing, the current page</w:t>
      </w:r>
      <w:r>
        <w:t xml:space="preserve"> </w:t>
      </w:r>
      <w:r>
        <w:t xml:space="preserve">highlighted. Click any thumbnail to jump there. Thumbnails fill</w:t>
      </w:r>
      <w:r>
        <w:t xml:space="preserve"> </w:t>
      </w:r>
      <w:r>
        <w:t xml:space="preserve">in lazily, so a 400-page volume opens instantly.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3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3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3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10"/>
    <w:bookmarkStart w:id="111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11"/>
    <w:bookmarkStart w:id="112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5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5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5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12"/>
    <w:bookmarkStart w:id="113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6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7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7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7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7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13"/>
    <w:bookmarkStart w:id="114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8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8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8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8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8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14"/>
    <w:bookmarkStart w:id="115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4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7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Since 2026-08-20 recognition runs in the</w:t>
      </w:r>
      <w:r>
        <w:t xml:space="preserve"> </w:t>
      </w:r>
      <w:r>
        <w:t xml:space="preserve">background: the interface stays live, the button becomes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while it works, and stopping keeps the lines already recognized,</w:t>
      </w:r>
      <w:r>
        <w:t xml:space="preserve"> </w:t>
      </w:r>
      <w:r>
        <w:t xml:space="preserve">clearly labeled as partial. See §13.3.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7"/>
    <w:bookmarkStart w:id="118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8"/>
    <w:bookmarkStart w:id="119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1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2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2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9"/>
    <w:bookmarkStart w:id="120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20"/>
    <w:bookmarkStart w:id="121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3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3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21"/>
    <w:bookmarkStart w:id="122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22"/>
    <w:bookmarkStart w:id="123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4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4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4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46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25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25"/>
    <w:bookmarkStart w:id="126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26"/>
    <w:bookmarkStart w:id="127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7"/>
    <w:bookmarkStart w:id="128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8"/>
    <w:bookmarkStart w:id="129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9"/>
    <w:bookmarkStart w:id="130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8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30"/>
    <w:bookmarkStart w:id="131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31"/>
    <w:bookmarkStart w:id="132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32"/>
    <w:bookmarkStart w:id="133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33"/>
    <w:bookmarkStart w:id="134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34"/>
    <w:bookmarkStart w:id="135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35"/>
    <w:bookmarkStart w:id="136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36"/>
    <w:bookmarkStart w:id="137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7"/>
    <w:bookmarkStart w:id="138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8"/>
    <w:bookmarkStart w:id="139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Since the in-house access layer (14.20), what this button does</w:t>
      </w:r>
      <w:r>
        <w:t xml:space="preserve"> </w:t>
      </w:r>
      <w:r>
        <w:t xml:space="preserve">depends on your role: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moves directly, as described</w:t>
      </w:r>
      <w:r>
        <w:t xml:space="preserve"> </w:t>
      </w:r>
      <w:r>
        <w:t xml:space="preserve">here; a</w:t>
      </w:r>
      <w:r>
        <w:t xml:space="preserve"> </w:t>
      </w:r>
      <w:r>
        <w:rPr>
          <w:b/>
          <w:bCs/>
        </w:rPr>
        <w:t xml:space="preserve">cataloger’s</w:t>
      </w:r>
      <w:r>
        <w:t xml:space="preserve"> </w:t>
      </w:r>
      <w:r>
        <w:t xml:space="preserve">click stages the placement for approval</w:t>
      </w:r>
      <w:r>
        <w:t xml:space="preserve"> </w:t>
      </w:r>
      <w:r>
        <w:t xml:space="preserve">instead — nothing touches the official shelves until Geshe Michael</w:t>
      </w:r>
      <w:r>
        <w:t xml:space="preserve"> </w:t>
      </w:r>
      <w:r>
        <w:t xml:space="preserve">rules.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3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3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9"/>
    <w:bookmarkStart w:id="140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40"/>
    <w:bookmarkStart w:id="141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41"/>
    <w:bookmarkStart w:id="142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42"/>
    <w:bookmarkStart w:id="143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43"/>
    <w:bookmarkStart w:id="144" w:name="in-house-access-sign-in-stage-approve"/>
    <w:p>
      <w:pPr>
        <w:pStyle w:val="Heading2"/>
      </w:pPr>
      <w:r>
        <w:t xml:space="preserve">14.20 In-house access — sign in, stage, approve</w:t>
      </w:r>
    </w:p>
    <w:p>
      <w:pPr>
        <w:pStyle w:val="FirstParagraph"/>
      </w:pPr>
      <w:r>
        <w:t xml:space="preserve">The cataloging workflow is</w:t>
      </w:r>
      <w:r>
        <w:t xml:space="preserve"> </w:t>
      </w:r>
      <w:r>
        <w:rPr>
          <w:b/>
          <w:bCs/>
        </w:rPr>
        <w:t xml:space="preserve">in-house only</w:t>
      </w:r>
      <w:r>
        <w:t xml:space="preserve"> </w:t>
      </w:r>
      <w:r>
        <w:t xml:space="preserve">(2026-08-20). Three</w:t>
      </w:r>
      <w:r>
        <w:t xml:space="preserve"> </w:t>
      </w:r>
      <w:r>
        <w:t xml:space="preserve">pieces make that real, all living inside one folder — the team’s</w:t>
      </w:r>
      <w:r>
        <w:t xml:space="preserve"> </w:t>
      </w:r>
      <w:r>
        <w:rPr>
          <w:b/>
          <w:bCs/>
        </w:rPr>
        <w:t xml:space="preserve">official library</w:t>
      </w:r>
      <w:r>
        <w:t xml:space="preserve">, which should be the shared Dropbox-synced</w:t>
      </w:r>
      <w:r>
        <w:t xml:space="preserve"> </w:t>
      </w:r>
      <w:r>
        <w:t xml:space="preserve">folder everyone already uses. Because everything lives inside that</w:t>
      </w:r>
      <w:r>
        <w:t xml:space="preserve"> </w:t>
      </w:r>
      <w:r>
        <w:t xml:space="preserve">folder, Dropbox itself carries every staged file, every ledger row,</w:t>
      </w:r>
      <w:r>
        <w:t xml:space="preserve"> </w:t>
      </w:r>
      <w:r>
        <w:t xml:space="preserve">and every approved placement to the whole team; the app never talks</w:t>
      </w:r>
      <w:r>
        <w:t xml:space="preserve"> </w:t>
      </w:r>
      <w:r>
        <w:t xml:space="preserve">to Dropbox, it just works inside the folder Dropbox syncs.</w:t>
      </w:r>
    </w:p>
    <w:p>
      <w:pPr>
        <w:pStyle w:val="BodyText"/>
      </w:pPr>
      <w:r>
        <w:rPr>
          <w:b/>
          <w:bCs/>
        </w:rPr>
        <w:t xml:space="preserve">The roster and sign-in.</w:t>
      </w:r>
      <w:r>
        <w:t xml:space="preserve"> </w:t>
      </w:r>
      <w:r>
        <w:rPr>
          <w:i/>
          <w:iCs/>
        </w:rPr>
        <w:t xml:space="preserve">Official library…</w:t>
      </w:r>
      <w:r>
        <w:t xml:space="preserve"> </w:t>
      </w:r>
      <w:r>
        <w:t xml:space="preserve">points the pane at</w:t>
      </w:r>
      <w:r>
        <w:t xml:space="preserve"> </w:t>
      </w:r>
      <w:r>
        <w:t xml:space="preserve">the shared folder.</w:t>
      </w:r>
      <w:r>
        <w:t xml:space="preserve"> </w:t>
      </w:r>
      <w:r>
        <w:rPr>
          <w:i/>
          <w:iCs/>
        </w:rPr>
        <w:t xml:space="preserve">Team…</w:t>
      </w:r>
      <w:r>
        <w:t xml:space="preserve"> </w:t>
      </w:r>
      <w:r>
        <w:t xml:space="preserve">creates and manages</w:t>
      </w:r>
      <w:r>
        <w:t xml:space="preserve"> </w:t>
      </w:r>
      <w:r>
        <w:rPr>
          <w:rStyle w:val="VerbatimChar"/>
        </w:rPr>
        <w:t xml:space="preserve">CATALOG_TEAM.tsv</w:t>
      </w:r>
      <w:r>
        <w:t xml:space="preserve"> </w:t>
      </w:r>
      <w:r>
        <w:t xml:space="preserve">inside it — who may use the workflow, and as whom. The first entry</w:t>
      </w:r>
      <w:r>
        <w:t xml:space="preserve"> </w:t>
      </w:r>
      <w:r>
        <w:t xml:space="preserve">created becomes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(that should be Adam); the admin adds</w:t>
      </w:r>
      <w:r>
        <w:t xml:space="preserve"> </w:t>
      </w:r>
      <w:r>
        <w:t xml:space="preserve">members, each with their own passphrase, and revokes access. Give</w:t>
      </w:r>
      <w:r>
        <w:t xml:space="preserve"> </w:t>
      </w:r>
      <w:r>
        <w:t xml:space="preserve">Geshe Michael the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role. Until someone signs in, every</w:t>
      </w:r>
      <w:r>
        <w:t xml:space="preserve"> </w:t>
      </w:r>
      <w:r>
        <w:t xml:space="preserve">action button in the pane is disabled — browsing stays open, acting</w:t>
      </w:r>
      <w:r>
        <w:t xml:space="preserve"> </w:t>
      </w:r>
      <w:r>
        <w:t xml:space="preserve">does not. Honesty note: this is team discipline plus attribution</w:t>
      </w:r>
      <w:r>
        <w:t xml:space="preserve"> </w:t>
      </w:r>
      <w:r>
        <w:t xml:space="preserve">(salted passphrase hashes, every action signed with a name), not</w:t>
      </w:r>
      <w:r>
        <w:t xml:space="preserve"> </w:t>
      </w:r>
      <w:r>
        <w:t xml:space="preserve">cryptography — the Dropbox share itself is the real wall.</w:t>
      </w:r>
    </w:p>
    <w:p>
      <w:pPr>
        <w:pStyle w:val="BodyText"/>
      </w:pPr>
      <w:r>
        <w:rPr>
          <w:b/>
          <w:bCs/>
        </w:rPr>
        <w:t xml:space="preserve">Staging.</w:t>
      </w:r>
      <w:r>
        <w:t xml:space="preserve"> </w:t>
      </w:r>
      <w:r>
        <w:t xml:space="preserve">When a signed-in</w:t>
      </w:r>
      <w:r>
        <w:t xml:space="preserve"> </w:t>
      </w:r>
      <w:r>
        <w:rPr>
          <w:b/>
          <w:bCs/>
        </w:rPr>
        <w:t xml:space="preserve">cataloger</w:t>
      </w:r>
      <w:r>
        <w:t xml:space="preserve"> </w:t>
      </w:r>
      <w:r>
        <w:t xml:space="preserve">clicks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, the file does not go onto the shelf.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AWAITING APPROVAL/</w:t>
      </w:r>
      <w:r>
        <w:t xml:space="preserve"> </w:t>
      </w:r>
      <w:r>
        <w:t xml:space="preserve">inside the official library (the mother copy</w:t>
      </w:r>
      <w:r>
        <w:t xml:space="preserve"> </w:t>
      </w:r>
      <w:r>
        <w:t xml:space="preserve">in the intake is untouched), under its proposed catalog name, and a</w:t>
      </w:r>
      <w:r>
        <w:t xml:space="preserve"> </w:t>
      </w:r>
      <w:r>
        <w:t xml:space="preserve">row is appended to</w:t>
      </w:r>
      <w:r>
        <w:t xml:space="preserve"> </w:t>
      </w:r>
      <w:r>
        <w:rPr>
          <w:rStyle w:val="VerbatimChar"/>
        </w:rPr>
        <w:t xml:space="preserve">ACTIONS.tsv</w:t>
      </w:r>
      <w:r>
        <w:t xml:space="preserve"> </w:t>
      </w:r>
      <w:r>
        <w:t xml:space="preserve">beside it: who, when, which file,</w:t>
      </w:r>
      <w:r>
        <w:t xml:space="preserve"> </w:t>
      </w:r>
      <w:r>
        <w:t xml:space="preserve">which proposed shelf, and the evidence. The ledger is plain ASCII —</w:t>
      </w:r>
      <w:r>
        <w:t xml:space="preserve"> </w:t>
      </w:r>
      <w:r>
        <w:t xml:space="preserve">Geshe Michael can read the list of actions in any editor, forever.</w:t>
      </w:r>
    </w:p>
    <w:p>
      <w:pPr>
        <w:pStyle w:val="BodyText"/>
      </w:pPr>
      <w:r>
        <w:rPr>
          <w:b/>
          <w:bCs/>
        </w:rPr>
        <w:t xml:space="preserve">Approving.</w:t>
      </w:r>
      <w:r>
        <w:t xml:space="preserve"> </w:t>
      </w:r>
      <w:r>
        <w:rPr>
          <w:i/>
          <w:iCs/>
        </w:rPr>
        <w:t xml:space="preserve">Approvals…</w:t>
      </w:r>
      <w:r>
        <w:t xml:space="preserve"> </w:t>
      </w:r>
      <w:r>
        <w:t xml:space="preserve">shows the pending list — every staged</w:t>
      </w:r>
      <w:r>
        <w:t xml:space="preserve"> </w:t>
      </w:r>
      <w:r>
        <w:t xml:space="preserve">action with its actor, proposed name, proposed shelf, and evidence.</w:t>
      </w:r>
      <w:r>
        <w:t xml:space="preserve"> </w:t>
      </w:r>
      <w:r>
        <w:t xml:space="preserve">Anyone signed in can read it; only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(Geshe Michael)</w:t>
      </w:r>
      <w:r>
        <w:t xml:space="preserve"> </w:t>
      </w:r>
      <w:r>
        <w:t xml:space="preserve">can rule.</w:t>
      </w:r>
      <w:r>
        <w:t xml:space="preserve"> </w:t>
      </w:r>
      <w:r>
        <w:rPr>
          <w:i/>
          <w:iCs/>
        </w:rPr>
        <w:t xml:space="preserve">Approve</w:t>
      </w:r>
      <w:r>
        <w:t xml:space="preserve"> </w:t>
      </w:r>
      <w:r>
        <w:t xml:space="preserve">moves the staged file onto its proposed shelf</w:t>
      </w:r>
      <w:r>
        <w:t xml:space="preserve"> </w:t>
      </w:r>
      <w:r>
        <w:t xml:space="preserve">(the placement then syncs to the whole team);</w:t>
      </w:r>
      <w:r>
        <w:t xml:space="preserve"> </w:t>
      </w:r>
      <w:r>
        <w:rPr>
          <w:i/>
          <w:iCs/>
        </w:rPr>
        <w:t xml:space="preserve">Reject…</w:t>
      </w:r>
      <w:r>
        <w:t xml:space="preserve"> </w:t>
      </w:r>
      <w:r>
        <w:t xml:space="preserve">moves it to</w:t>
      </w:r>
      <w:r>
        <w:t xml:space="preserve"> </w:t>
      </w:r>
      <w:r>
        <w:rPr>
          <w:rStyle w:val="VerbatimChar"/>
        </w:rPr>
        <w:t xml:space="preserve">AWAITING APPROVAL/REJECTED/</w:t>
      </w:r>
      <w:r>
        <w:t xml:space="preserve"> </w:t>
      </w:r>
      <w:r>
        <w:t xml:space="preserve">with the reason recorded in the</w:t>
      </w:r>
      <w:r>
        <w:t xml:space="preserve"> </w:t>
      </w:r>
      <w:r>
        <w:t xml:space="preserve">ledger — nothing is ever deleted. An approver’s own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 </w:t>
      </w:r>
      <w:r>
        <w:t xml:space="preserve">still acts directly, exactly as before.</w:t>
      </w:r>
    </w:p>
    <w:bookmarkEnd w:id="144"/>
    <w:bookmarkStart w:id="145" w:name="what-the-workflow-will-do-next"/>
    <w:p>
      <w:pPr>
        <w:pStyle w:val="Heading2"/>
      </w:pPr>
      <w:r>
        <w:t xml:space="preserve">14.21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1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47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47"/>
    <w:bookmarkStart w:id="148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8"/>
    <w:bookmarkStart w:id="149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9"/>
    <w:bookmarkStart w:id="150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10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10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10"/>
        </w:numPr>
      </w:pPr>
      <w:r>
        <w:t xml:space="preserve">the filing date;</w:t>
      </w:r>
    </w:p>
    <w:p>
      <w:pPr>
        <w:pStyle w:val="Compact"/>
        <w:numPr>
          <w:ilvl w:val="0"/>
          <w:numId w:val="1110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8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52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52"/>
    <w:bookmarkStart w:id="153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2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53"/>
    <w:bookmarkStart w:id="154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54"/>
    <w:bookmarkStart w:id="155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55"/>
    <w:bookmarkStart w:id="156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4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56"/>
    <w:bookmarkStart w:id="157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9" w:name="chapter-17-the-app-itself"/>
    <w:p>
      <w:pPr>
        <w:pStyle w:val="Heading1"/>
      </w:pPr>
      <w:r>
        <w:t xml:space="preserve">CHAPTER 17 — THE APP ITSELF</w:t>
      </w:r>
    </w:p>
    <w:p>
      <w:pPr>
        <w:pStyle w:val="BlockText"/>
      </w:pPr>
      <w:r>
        <w:rPr>
          <w:b/>
          <w:bCs/>
        </w:rPr>
        <w:t xml:space="preserve">New in the Word-style wave (2026-08-20):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Edit menu</w:t>
      </w:r>
      <w:r>
        <w:t xml:space="preserve"> </w:t>
      </w:r>
      <w:r>
        <w:t xml:space="preserve">(Undo/Redo, Cut/Copy/Paste/Delete, Select All) acting on</w:t>
      </w:r>
      <w:r>
        <w:t xml:space="preserve"> </w:t>
      </w:r>
      <w:r>
        <w:t xml:space="preserve">whichever editor has focus; a visible</w:t>
      </w:r>
      <w:r>
        <w:t xml:space="preserve"> </w:t>
      </w:r>
      <w:r>
        <w:rPr>
          <w:b/>
          <w:bCs/>
        </w:rPr>
        <w:t xml:space="preserve">🔎 Hunt (⌘K)</w:t>
      </w:r>
      <w:r>
        <w:t xml:space="preserve"> </w:t>
      </w:r>
      <w:r>
        <w:t xml:space="preserve">button</w:t>
      </w:r>
      <w:r>
        <w:t xml:space="preserve"> </w:t>
      </w:r>
      <w:r>
        <w:t xml:space="preserve">beside the group tabs; and the</w:t>
      </w:r>
      <w:r>
        <w:t xml:space="preserve"> </w:t>
      </w:r>
      <w:r>
        <w:rPr>
          <w:b/>
          <w:bCs/>
        </w:rPr>
        <w:t xml:space="preserve">Quick Access Toolbar</w:t>
      </w:r>
      <w:r>
        <w:t xml:space="preserve"> </w:t>
      </w:r>
      <w:r>
        <w:t xml:space="preserve">— the</w:t>
      </w:r>
      <w:r>
        <w:t xml:space="preserve"> </w:t>
      </w:r>
      <w:r>
        <w:t xml:space="preserve">thin strip above the tabs where the ★ menu lets you pin any</w:t>
      </w:r>
      <w:r>
        <w:t xml:space="preserve"> </w:t>
      </w:r>
      <w:r>
        <w:t xml:space="preserve">command from any pane, kept one click away everywhere. The</w:t>
      </w:r>
      <w:r>
        <w:t xml:space="preserve"> </w:t>
      </w:r>
      <w:r>
        <w:t xml:space="preserve">Catalog, OCR, Library, and Manuscript panes now present their</w:t>
      </w:r>
      <w:r>
        <w:t xml:space="preserve"> </w:t>
      </w:r>
      <w:r>
        <w:t xml:space="preserve">tools as a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— labeled groups in one strip, captions</w:t>
      </w:r>
      <w:r>
        <w:t xml:space="preserve"> </w:t>
      </w:r>
      <w:r>
        <w:t xml:space="preserve">beneath — with more panes following.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9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9"/>
    <w:bookmarkStart w:id="160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5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5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60"/>
    <w:bookmarkStart w:id="161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Diamond Cutter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6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6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6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6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7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7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7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61"/>
    <w:bookmarkStart w:id="162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62"/>
    <w:bookmarkStart w:id="163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“Diamond Cutter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63"/>
    <w:bookmarkStart w:id="164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64"/>
    <w:bookmarkStart w:id="165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65"/>
    <w:bookmarkStart w:id="166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"/Applications/Diamond Cutter Translation Tool.app/Contents/MacOS/Diamond Cutter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66"/>
    <w:bookmarkStart w:id="167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Diamond Cutter Tool Data folder.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67"/>
    <w:bookmarkStart w:id="168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2026-08-26T18:03:40Z</dcterms:created>
  <dcterms:modified xsi:type="dcterms:W3CDTF">2026-08-26T18:03:40Z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