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The change-log stamp</w:t>
      </w:r>
    </w:p>
    <w:p>
      <w:pPr>
        <w:pStyle w:val="Compact"/>
        <w:numPr>
          <w:ilvl w:val="1"/>
          <w:numId w:val="1006"/>
        </w:numPr>
      </w:pPr>
      <w:r>
        <w:t xml:space="preserve">14.15 Move to shelf — the handoff</w:t>
      </w:r>
    </w:p>
    <w:p>
      <w:pPr>
        <w:pStyle w:val="Compact"/>
        <w:numPr>
          <w:ilvl w:val="1"/>
          <w:numId w:val="1006"/>
        </w:numPr>
      </w:pPr>
      <w:r>
        <w:t xml:space="preserve">14.16 The worksheet</w:t>
      </w:r>
    </w:p>
    <w:p>
      <w:pPr>
        <w:pStyle w:val="Compact"/>
        <w:numPr>
          <w:ilvl w:val="1"/>
          <w:numId w:val="1006"/>
        </w:numPr>
      </w:pPr>
      <w:r>
        <w:t xml:space="preserve">14.17 Propose this identity — the routing</w:t>
      </w:r>
    </w:p>
    <w:p>
      <w:pPr>
        <w:pStyle w:val="Compact"/>
        <w:numPr>
          <w:ilvl w:val="1"/>
          <w:numId w:val="1006"/>
        </w:numPr>
      </w:pPr>
      <w:r>
        <w:t xml:space="preserve">14.18 QC intake — the two quality lanes</w:t>
      </w:r>
    </w:p>
    <w:p>
      <w:pPr>
        <w:pStyle w:val="Compact"/>
        <w:numPr>
          <w:ilvl w:val="1"/>
          <w:numId w:val="1006"/>
        </w:numPr>
      </w:pPr>
      <w:r>
        <w:t xml:space="preserve">14.19 Where might this belong? — shelf suggestions</w:t>
      </w:r>
    </w:p>
    <w:p>
      <w:pPr>
        <w:pStyle w:val="Compact"/>
        <w:numPr>
          <w:ilvl w:val="1"/>
          <w:numId w:val="1006"/>
        </w:numPr>
      </w:pPr>
      <w:r>
        <w:t xml:space="preserve">14.20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1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 and (since the 2026-08-20 merge of 84000’s official live glossary)</w:t>
            </w:r>
            <w:r>
              <w:t xml:space="preserve"> </w:t>
            </w:r>
            <w:r>
              <w:t xml:space="preserve">“attested in”</w:t>
            </w:r>
            <w:r>
              <w:t xml:space="preserve"> </w:t>
            </w:r>
            <w:r>
              <w:t xml:space="preserve">links to the published works that carry the term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Three ways in: the visible</w:t>
      </w:r>
      <w:r>
        <w:t xml:space="preserve"> </w:t>
      </w:r>
      <w:r>
        <w:rPr>
          <w:b/>
          <w:bCs/>
        </w:rPr>
        <w:t xml:space="preserve">Survey…</w:t>
      </w:r>
      <w:r>
        <w:t xml:space="preserve"> </w:t>
      </w:r>
      <w:r>
        <w:t xml:space="preserve">button in the Library’s</w:t>
      </w:r>
      <w:r>
        <w:t xml:space="preserve"> </w:t>
      </w:r>
      <w:r>
        <w:t xml:space="preserve">control row,</w:t>
      </w:r>
      <w:r>
        <w:t xml:space="preserve"> </w:t>
      </w:r>
      <w:r>
        <w:rPr>
          <w:b/>
          <w:bCs/>
        </w:rPr>
        <w:t xml:space="preserve">Maintenance… → Translator’s survey (selected</w:t>
      </w:r>
      <w:r>
        <w:rPr>
          <w:b/>
          <w:bCs/>
        </w:rPr>
        <w:t xml:space="preserve"> </w:t>
      </w:r>
      <w:r>
        <w:rPr>
          <w:b/>
          <w:bCs/>
        </w:rPr>
        <w:t xml:space="preserve">text)</w:t>
      </w:r>
      <w:r>
        <w:t xml:space="preserve">, and 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— all</w:t>
      </w:r>
      <w:r>
        <w:t xml:space="preserve"> </w:t>
      </w:r>
      <w:r>
        <w:t xml:space="preserve">three read the selected text. The survey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2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p>
      <w:pPr>
        <w:pStyle w:val="BodyText"/>
      </w:pPr>
      <w:r>
        <w:t xml:space="preserve">Below the corpus hits, the concordance shows</w:t>
      </w:r>
      <w:r>
        <w:t xml:space="preserve"> </w:t>
      </w:r>
      <w:r>
        <w:rPr>
          <w:b/>
          <w:bCs/>
        </w:rPr>
        <w:t xml:space="preserve">84000 Translation</w:t>
      </w:r>
      <w:r>
        <w:rPr>
          <w:b/>
          <w:bCs/>
        </w:rPr>
        <w:t xml:space="preserve"> </w:t>
      </w:r>
      <w:r>
        <w:rPr>
          <w:b/>
          <w:bCs/>
        </w:rPr>
        <w:t xml:space="preserve">Memory comparanda</w:t>
      </w:r>
      <w:r>
        <w:t xml:space="preserve"> </w:t>
      </w:r>
      <w:r>
        <w:t xml:space="preserve">— up to five aligned Tibetan–English segments</w:t>
      </w:r>
      <w:r>
        <w:t xml:space="preserve"> </w:t>
      </w:r>
      <w:r>
        <w:t xml:space="preserve">from 84000’s published canon translations (400,745 segments across</w:t>
      </w:r>
      <w:r>
        <w:t xml:space="preserve"> </w:t>
      </w:r>
      <w:r>
        <w:t xml:space="preserve">388 Kangyur/Tengyur texts, CC BY 4.0 per 84000’s own Terms of Use;</w:t>
      </w:r>
      <w:r>
        <w:t xml:space="preserve"> </w:t>
      </w:r>
      <w:r>
        <w:t xml:space="preserve">ingested 2026-08-20). Each carries its Tohoku number, Degé folio</w:t>
      </w:r>
      <w:r>
        <w:t xml:space="preserve"> </w:t>
      </w:r>
      <w:r>
        <w:t xml:space="preserve">where the source records it, and a link to the full translation at</w:t>
      </w:r>
      <w:r>
        <w:t xml:space="preserve"> </w:t>
      </w:r>
      <w:r>
        <w:t xml:space="preserve">84000.co. These are</w:t>
      </w:r>
      <w:r>
        <w:t xml:space="preserve"> </w:t>
      </w:r>
      <w:r>
        <w:rPr>
          <w:i/>
          <w:iCs/>
        </w:rPr>
        <w:t xml:space="preserve">published-translation comparanda, 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— another team’s renderings beside Geshe Michael’s, never</w:t>
      </w:r>
      <w:r>
        <w:t xml:space="preserve"> </w:t>
      </w:r>
      <w:r>
        <w:t xml:space="preserve">mixed with them. The first concordance click after an update</w:t>
      </w:r>
      <w:r>
        <w:t xml:space="preserve"> </w:t>
      </w:r>
      <w:r>
        <w:t xml:space="preserve">builds the search index (a few seconds); after that it’s instant.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few</w:t>
      </w:r>
      <w:r>
        <w:t xml:space="preserve"> </w:t>
      </w:r>
      <w:r>
        <w:t xml:space="preserve">network-touching features (see the Analysis chapter for the full</w:t>
      </w:r>
      <w:r>
        <w:t xml:space="preserve"> </w:t>
      </w:r>
      <w:r>
        <w:t xml:space="preserve">list).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Start w:id="61" w:name="Xd7c0ea1706c22788b77acab58342a3ab578cff8"/>
    <w:p>
      <w:pPr>
        <w:pStyle w:val="Heading3"/>
      </w:pPr>
      <w:r>
        <w:t xml:space="preserve">The Apparatus pane — the published bank itself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Apparatus</w:t>
      </w:r>
      <w:r>
        <w:t xml:space="preserve"> </w:t>
      </w:r>
      <w:r>
        <w:t xml:space="preserve">pane (same Translate group) is the bank the</w:t>
      </w:r>
      <w:r>
        <w:t xml:space="preserve"> </w:t>
      </w:r>
      <w:r>
        <w:t xml:space="preserve">search box reaches: all 2,234 published footnotes and the</w:t>
      </w:r>
      <w:r>
        <w:t xml:space="preserve"> </w:t>
      </w:r>
      <w:r>
        <w:t xml:space="preserve">bibliography, scrollable and searchable, official tier only —</w:t>
      </w:r>
      <w:r>
        <w:t xml:space="preserve"> </w:t>
      </w:r>
      <w:r>
        <w:t xml:space="preserve">what shipped in the released volumes, nothing pending.</w:t>
      </w:r>
    </w:p>
    <w:p>
      <w:pPr>
        <w:pStyle w:val="BodyText"/>
      </w:pPr>
      <w:r>
        <w:t xml:space="preserve">Under a footnote’s text you may see</w:t>
      </w:r>
      <w:r>
        <w:t xml:space="preserve"> </w:t>
      </w:r>
      <w:r>
        <w:rPr>
          <w:b/>
          <w:bCs/>
        </w:rPr>
        <w:t xml:space="preserve">TIBETAN NAMED IN THIS</w:t>
      </w:r>
      <w:r>
        <w:rPr>
          <w:b/>
          <w:bCs/>
        </w:rPr>
        <w:t xml:space="preserve"> </w:t>
      </w:r>
      <w:r>
        <w:rPr>
          <w:b/>
          <w:bCs/>
        </w:rPr>
        <w:t xml:space="preserve">NOTE</w:t>
      </w:r>
      <w:r>
        <w:t xml:space="preserve"> </w:t>
      </w:r>
      <w:r>
        <w:t xml:space="preserve">— the Tibetan term(s) the note is talking about, each in</w:t>
      </w:r>
      <w:r>
        <w:t xml:space="preserve"> </w:t>
      </w:r>
      <w:r>
        <w:t xml:space="preserve">Tibetan script with its wylie and the evidence it was located</w:t>
      </w:r>
      <w:r>
        <w:t xml:space="preserve"> </w:t>
      </w:r>
      <w:r>
        <w:t xml:space="preserve">from. These are</w:t>
      </w:r>
      <w:r>
        <w:t xml:space="preserve"> </w:t>
      </w:r>
      <w:r>
        <w:rPr>
          <w:b/>
          <w:bCs/>
        </w:rPr>
        <w:t xml:space="preserve">machine-located candidates, never a ruling</w:t>
      </w:r>
      <w:r>
        <w:t xml:space="preserve">:</w:t>
      </w:r>
      <w:r>
        <w:t xml:space="preserve"> </w:t>
      </w:r>
      <w:r>
        <w:t xml:space="preserve">either the note itself quotes the Tibetan in its own body (the</w:t>
      </w:r>
      <w:r>
        <w:t xml:space="preserve"> </w:t>
      </w:r>
      <w:r>
        <w:t xml:space="preserve">evidence line shows that sentence), or — added 2026-08-20 —</w:t>
      </w:r>
      <w:r>
        <w:t xml:space="preserve"> </w:t>
      </w:r>
      <w:r>
        <w:t xml:space="preserve">Geshe Michael’s own English equivalent for a dictionary entry is</w:t>
      </w:r>
      <w:r>
        <w:t xml:space="preserve"> </w:t>
      </w:r>
      <w:r>
        <w:t xml:space="preserve">exactly this footnote’s lemma (the evidence names the gloss, its</w:t>
      </w:r>
      <w:r>
        <w:t xml:space="preserve"> </w:t>
      </w:r>
      <w:r>
        <w:t xml:space="preserve">tier, and marks PROVISIONAL tiers plainly). 252 of the 2,234</w:t>
      </w:r>
      <w:r>
        <w:t xml:space="preserve"> </w:t>
      </w:r>
      <w:r>
        <w:t xml:space="preserve">notes carry such candidates today; the rest stay honestly bare</w:t>
      </w:r>
      <w:r>
        <w:t xml:space="preserve"> </w:t>
      </w:r>
      <w:r>
        <w:t xml:space="preserve">rather than guessed at.</w:t>
      </w:r>
    </w:p>
    <w:bookmarkEnd w:id="61"/>
    <w:bookmarkEnd w:id="62"/>
    <w:bookmarkStart w:id="65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3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3"/>
    <w:bookmarkStart w:id="64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4"/>
    <w:bookmarkEnd w:id="65"/>
    <w:bookmarkStart w:id="70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6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6"/>
    <w:bookmarkStart w:id="67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7"/>
    <w:bookmarkStart w:id="68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8"/>
    <w:bookmarkStart w:id="69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9"/>
    <w:bookmarkEnd w:id="70"/>
    <w:bookmarkEnd w:id="71"/>
    <w:bookmarkStart w:id="99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7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2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2"/>
    <w:bookmarkStart w:id="73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3"/>
    <w:bookmarkStart w:id="74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4"/>
    <w:bookmarkStart w:id="75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5"/>
    <w:bookmarkStart w:id="76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8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8"/>
    <w:bookmarkStart w:id="79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9"/>
    <w:bookmarkStart w:id="80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80"/>
    <w:bookmarkEnd w:id="81"/>
    <w:bookmarkStart w:id="84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2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2"/>
    <w:bookmarkStart w:id="83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7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5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5"/>
    <w:bookmarkStart w:id="86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6"/>
    <w:bookmarkEnd w:id="87"/>
    <w:bookmarkStart w:id="92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the app’s few network-touching features —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are the Draft pane’s AI back-check, the Overlay’s BDRC scan</w:t>
      </w:r>
      <w:r>
        <w:rPr>
          <w:i/>
          <w:iCs/>
        </w:rPr>
        <w:t xml:space="preserve"> </w:t>
      </w:r>
      <w:r>
        <w:rPr>
          <w:i/>
          <w:iCs/>
        </w:rPr>
        <w:t xml:space="preserve">viewer, and the Scan pane’s OCR-model downloads; everything else</w:t>
      </w:r>
      <w:r>
        <w:rPr>
          <w:i/>
          <w:iCs/>
        </w:rPr>
        <w:t xml:space="preserve"> </w:t>
      </w:r>
      <w:r>
        <w:rPr>
          <w:i/>
          <w:iCs/>
        </w:rPr>
        <w:t xml:space="preserve">runs fully offline.</w:t>
      </w:r>
    </w:p>
    <w:bookmarkStart w:id="88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8"/>
    <w:bookmarkStart w:id="89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9"/>
    <w:bookmarkStart w:id="90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90"/>
    <w:bookmarkStart w:id="91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5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3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3"/>
    <w:bookmarkStart w:id="94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8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6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6"/>
    <w:bookmarkStart w:id="97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7"/>
    <w:bookmarkEnd w:id="98"/>
    <w:bookmarkEnd w:id="99"/>
    <w:bookmarkStart w:id="100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OCR”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100"/>
    <w:bookmarkStart w:id="109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1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1"/>
    <w:bookmarkStart w:id="102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2"/>
    <w:bookmarkStart w:id="103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3"/>
    <w:bookmarkStart w:id="104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4"/>
    <w:bookmarkStart w:id="105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5"/>
    <w:bookmarkStart w:id="106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6"/>
    <w:bookmarkStart w:id="107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7"/>
    <w:bookmarkStart w:id="108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7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10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10"/>
    <w:bookmarkStart w:id="111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1"/>
    <w:bookmarkStart w:id="112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OCR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2"/>
    <w:bookmarkStart w:id="113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3"/>
    <w:bookmarkStart w:id="114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4"/>
    <w:bookmarkStart w:id="115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5"/>
    <w:bookmarkStart w:id="116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38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8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8"/>
    <w:bookmarkStart w:id="119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9"/>
    <w:bookmarkStart w:id="120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20"/>
    <w:bookmarkStart w:id="121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1"/>
    <w:bookmarkStart w:id="122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p>
      <w:pPr>
        <w:pStyle w:val="BodyText"/>
      </w:pPr>
      <w:r>
        <w:rPr>
          <w:b/>
          <w:bCs/>
        </w:rPr>
        <w:t xml:space="preserve">The witness hunt.</w:t>
      </w:r>
      <w:r>
        <w:t xml:space="preserve"> </w:t>
      </w:r>
      <w:r>
        <w:t xml:space="preserve">Each missing work now carries its lead:</w:t>
      </w:r>
      <w:r>
        <w:t xml:space="preserve"> </w:t>
      </w:r>
      <w:r>
        <w:rPr>
          <w:b/>
          <w:bCs/>
        </w:rPr>
        <w:t xml:space="preserve">scans on BDRC</w:t>
      </w:r>
      <w:r>
        <w:t xml:space="preserve"> </w:t>
      </w:r>
      <w:r>
        <w:t xml:space="preserve">when the number maps deterministically (KD/KL/TD</w:t>
      </w:r>
      <w:r>
        <w:t xml:space="preserve"> </w:t>
      </w:r>
      <w:r>
        <w:t xml:space="preserve">are Tohoku numbers), otherwise</w:t>
      </w:r>
      <w:r>
        <w:t xml:space="preserve"> </w:t>
      </w:r>
      <w:r>
        <w:rPr>
          <w:b/>
          <w:bCs/>
        </w:rPr>
        <w:t xml:space="preserve">search BUDA</w:t>
      </w:r>
      <w:r>
        <w:t xml:space="preserve"> </w:t>
      </w:r>
      <w:r>
        <w:t xml:space="preserve">— a title search</w:t>
      </w:r>
      <w:r>
        <w:t xml:space="preserve"> </w:t>
      </w:r>
      <w:r>
        <w:t xml:space="preserve">built from the citation’s own Tibetan span (measured: 45 of the 50</w:t>
      </w:r>
      <w:r>
        <w:t xml:space="preserve"> </w:t>
      </w:r>
      <w:r>
        <w:t xml:space="preserve">missing works yield a query from their citation).</w:t>
      </w:r>
      <w:r>
        <w:t xml:space="preserve"> </w:t>
      </w:r>
      <w:r>
        <w:rPr>
          <w:b/>
          <w:bCs/>
        </w:rPr>
        <w:t xml:space="preserve">Export missing</w:t>
      </w:r>
      <w:r>
        <w:rPr>
          <w:b/>
          <w:bCs/>
        </w:rPr>
        <w:t xml:space="preserve"> </w:t>
      </w:r>
      <w:r>
        <w:rPr>
          <w:b/>
          <w:bCs/>
        </w:rPr>
        <w:t xml:space="preserve">list…</w:t>
      </w:r>
      <w:r>
        <w:t xml:space="preserve"> </w:t>
      </w:r>
      <w:r>
        <w:t xml:space="preserve">writes the field-coded handout for the hunt — number,</w:t>
      </w:r>
      <w:r>
        <w:t xml:space="preserve"> </w:t>
      </w:r>
      <w:r>
        <w:t xml:space="preserve">citing volume, citation, search link — the sheet a session hands</w:t>
      </w:r>
      <w:r>
        <w:t xml:space="preserve"> </w:t>
      </w:r>
      <w:r>
        <w:t xml:space="preserve">to whoever is asked to check.</w:t>
      </w:r>
    </w:p>
    <w:bookmarkEnd w:id="122"/>
    <w:bookmarkStart w:id="123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3"/>
    <w:bookmarkStart w:id="124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4"/>
    <w:bookmarkStart w:id="125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5"/>
    <w:bookmarkStart w:id="126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6"/>
    <w:bookmarkStart w:id="127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7"/>
    <w:bookmarkStart w:id="128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8"/>
    <w:bookmarkStart w:id="129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9"/>
    <w:bookmarkStart w:id="130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30"/>
    <w:bookmarkStart w:id="131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1"/>
    <w:bookmarkStart w:id="132" w:name="move-to-shelf-the-handoff"/>
    <w:p>
      <w:pPr>
        <w:pStyle w:val="Heading2"/>
      </w:pPr>
      <w:r>
        <w:t xml:space="preserve">14.15 Move to shelf — the handoff</w:t>
      </w:r>
    </w:p>
    <w:p>
      <w:pPr>
        <w:pStyle w:val="FirstParagraph"/>
      </w:pPr>
      <w:r>
        <w:t xml:space="preserve">The two browsers are the two ends of one move: intake material,</w:t>
      </w:r>
      <w:r>
        <w:t xml:space="preserve"> </w:t>
      </w:r>
      <w:r>
        <w:t xml:space="preserve">once identified and properly named, goes onto its shelf in the</w:t>
      </w:r>
      <w:r>
        <w:t xml:space="preserve"> </w:t>
      </w:r>
      <w:r>
        <w:t xml:space="preserve">destination tree. Select the file on the left, click the target</w:t>
      </w:r>
      <w:r>
        <w:t xml:space="preserve"> </w:t>
      </w:r>
      <w:r>
        <w:t xml:space="preserve">shelf (folder) on the right, then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.</w:t>
      </w:r>
    </w:p>
    <w:p>
      <w:pPr>
        <w:pStyle w:val="BodyText"/>
      </w:pPr>
      <w:r>
        <w:t xml:space="preserve">The move follows the house rules to the letter: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Move, not copy</w:t>
      </w:r>
      <w:r>
        <w:t xml:space="preserve"> </w:t>
      </w:r>
      <w:r>
        <w:t xml:space="preserve">— after the handoff the file lives in exactly</w:t>
      </w:r>
      <w:r>
        <w:t xml:space="preserve"> </w:t>
      </w:r>
      <w:r>
        <w:t xml:space="preserve">one place;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META companion travels with its file</w:t>
      </w:r>
      <w:r>
        <w:t xml:space="preserve"> </w:t>
      </w:r>
      <w:r>
        <w:t xml:space="preserve">— the pair is never</w:t>
      </w:r>
      <w:r>
        <w:t xml:space="preserve"> </w:t>
      </w:r>
      <w:r>
        <w:t xml:space="preserve">split (if the companion cannot move, the whole move undoes);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is refused</w:t>
      </w:r>
      <w:r>
        <w:t xml:space="preserve">, never overwritten; nothing is ever</w:t>
      </w:r>
      <w:r>
        <w:t xml:space="preserve"> </w:t>
      </w:r>
      <w:r>
        <w:t xml:space="preserve">deleted;</w:t>
      </w:r>
    </w:p>
    <w:p>
      <w:pPr>
        <w:pStyle w:val="Compact"/>
        <w:numPr>
          <w:ilvl w:val="0"/>
          <w:numId w:val="1102"/>
        </w:numPr>
      </w:pPr>
      <w:r>
        <w:t xml:space="preserve">a file whose name carries</w:t>
      </w:r>
      <w:r>
        <w:t xml:space="preserve"> </w:t>
      </w:r>
      <w:r>
        <w:rPr>
          <w:b/>
          <w:bCs/>
        </w:rPr>
        <w:t xml:space="preserve">no catalog identity is refused</w:t>
      </w:r>
      <w:r>
        <w:t xml:space="preserve"> </w:t>
      </w:r>
      <w:r>
        <w:t xml:space="preserve">with</w:t>
      </w:r>
      <w:r>
        <w:t xml:space="preserve"> </w:t>
      </w:r>
      <w:r>
        <w:t xml:space="preserve">the workflow’s order spelled out: identify, name (Compose</w:t>
      </w:r>
      <w:r>
        <w:t xml:space="preserve"> </w:t>
      </w:r>
      <w:r>
        <w:t xml:space="preserve">name…), then shelve;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shelf choice is the cataloger’s</w:t>
      </w:r>
      <w:r>
        <w:t xml:space="preserve"> </w:t>
      </w:r>
      <w:r>
        <w:t xml:space="preserve">— the confirmation quotes</w:t>
      </w:r>
      <w:r>
        <w:t xml:space="preserve"> </w:t>
      </w:r>
      <w:r>
        <w:t xml:space="preserve">the warning that drives the whole design:</w:t>
      </w:r>
      <w:r>
        <w:t xml:space="preserve"> </w:t>
      </w:r>
      <w:r>
        <w:rPr>
          <w:i/>
          <w:iCs/>
        </w:rPr>
        <w:t xml:space="preserve">“a book on the wrong</w:t>
      </w:r>
      <w:r>
        <w:rPr>
          <w:i/>
          <w:iCs/>
        </w:rPr>
        <w:t xml:space="preserve"> </w:t>
      </w:r>
      <w:r>
        <w:rPr>
          <w:i/>
          <w:iCs/>
        </w:rPr>
        <w:t xml:space="preserve">shelf is lost forever”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after the move, the app offers the</w:t>
      </w:r>
      <w:r>
        <w:t xml:space="preserve"> </w:t>
      </w:r>
      <w:r>
        <w:rPr>
          <w:b/>
          <w:bCs/>
        </w:rPr>
        <w:t xml:space="preserve">change-log stamp</w:t>
      </w:r>
      <w:r>
        <w:t xml:space="preserve"> </w:t>
      </w:r>
      <w:r>
        <w:t xml:space="preserve">on the</w:t>
      </w:r>
      <w:r>
        <w:t xml:space="preserve"> </w:t>
      </w:r>
      <w:r>
        <w:t xml:space="preserve">shelf folder, per the policy.</w:t>
      </w:r>
    </w:p>
    <w:p>
      <w:pPr>
        <w:pStyle w:val="FirstParagraph"/>
      </w:pPr>
      <w:r>
        <w:t xml:space="preserve">Both censuses refresh after a move — the intake count falls, the</w:t>
      </w:r>
      <w:r>
        <w:t xml:space="preserve"> </w:t>
      </w:r>
      <w:r>
        <w:t xml:space="preserve">destination count rises, and the work is visibly further along.</w:t>
      </w:r>
    </w:p>
    <w:bookmarkEnd w:id="132"/>
    <w:bookmarkStart w:id="133" w:name="the-worksheet"/>
    <w:p>
      <w:pPr>
        <w:pStyle w:val="Heading2"/>
      </w:pPr>
      <w:r>
        <w:t xml:space="preserve">14.16 The worksheet</w:t>
      </w:r>
    </w:p>
    <w:p>
      <w:pPr>
        <w:pStyle w:val="FirstParagraph"/>
      </w:pPr>
      <w:r>
        <w:rPr>
          <w:b/>
          <w:bCs/>
        </w:rPr>
        <w:t xml:space="preserve">Worksheet…</w:t>
      </w:r>
      <w:r>
        <w:t xml:space="preserve"> </w:t>
      </w:r>
      <w:r>
        <w:t xml:space="preserve">opens the cataloging worksheet for the selected file</w:t>
      </w:r>
      <w:r>
        <w:t xml:space="preserve"> </w:t>
      </w:r>
      <w:r>
        <w:t xml:space="preserve">— built on the team’s own live spreadsheet schema, all 52 columns</w:t>
      </w:r>
      <w:r>
        <w:t xml:space="preserve"> </w:t>
      </w:r>
      <w:r>
        <w:t xml:space="preserve">in the sheet’s own order, from</w:t>
      </w:r>
      <w:r>
        <w:t xml:space="preserve"> </w:t>
      </w:r>
      <w:r>
        <w:rPr>
          <w:i/>
          <w:iCs/>
        </w:rPr>
        <w:t xml:space="preserve">ACIP Number</w:t>
      </w:r>
      <w:r>
        <w:t xml:space="preserve"> </w:t>
      </w:r>
      <w:r>
        <w:t xml:space="preserve">through the titles in</w:t>
      </w:r>
      <w:r>
        <w:t xml:space="preserve"> </w:t>
      </w:r>
      <w:r>
        <w:t xml:space="preserve">three languages, authorship, the BDRC identifiers, publisher,</w:t>
      </w:r>
      <w:r>
        <w:t xml:space="preserve"> </w:t>
      </w:r>
      <w:r>
        <w:rPr>
          <w:b/>
          <w:bCs/>
        </w:rPr>
        <w:t xml:space="preserve">colophon</w:t>
      </w:r>
      <w:r>
        <w:t xml:space="preserve">, physical dimensions, condition, down to</w:t>
      </w:r>
      <w:r>
        <w:t xml:space="preserve"> </w:t>
      </w:r>
      <w:r>
        <w:rPr>
          <w:i/>
          <w:iCs/>
        </w:rPr>
        <w:t xml:space="preserve">ISBN</w:t>
      </w:r>
      <w:r>
        <w:rPr>
          <w:i/>
          <w:iCs/>
        </w:rPr>
        <w:t xml:space="preserve"> </w:t>
      </w:r>
      <w:r>
        <w:rPr>
          <w:i/>
          <w:iCs/>
        </w:rPr>
        <w:t xml:space="preserve">number</w:t>
      </w:r>
      <w:r>
        <w:t xml:space="preserve">. Nothing was guessed: the column list is verbatim from the</w:t>
      </w:r>
      <w:r>
        <w:t xml:space="preserve"> </w:t>
      </w:r>
      <w:r>
        <w:t xml:space="preserve">live sheet.</w:t>
      </w:r>
    </w:p>
    <w:p>
      <w:pPr>
        <w:pStyle w:val="BodyText"/>
      </w:pPr>
      <w:r>
        <w:t xml:space="preserve">The form arrives</w:t>
      </w:r>
      <w:r>
        <w:t xml:space="preserve"> </w:t>
      </w:r>
      <w:r>
        <w:rPr>
          <w:b/>
          <w:bCs/>
        </w:rPr>
        <w:t xml:space="preserve">prefilled from what the app already knows</w:t>
      </w:r>
      <w:r>
        <w:t xml:space="preserve"> </w:t>
      </w:r>
      <w:r>
        <w:t xml:space="preserve">—</w:t>
      </w:r>
      <w:r>
        <w:t xml:space="preserve"> </w:t>
      </w:r>
      <w:r>
        <w:t xml:space="preserve">the number and language from the filename, the Tohoku number for</w:t>
      </w:r>
      <w:r>
        <w:t xml:space="preserve"> </w:t>
      </w:r>
      <w:r>
        <w:t xml:space="preserve">KD/TD works, the title-page title and Sanskrit head from the text</w:t>
      </w:r>
      <w:r>
        <w:t xml:space="preserve"> </w:t>
      </w:r>
      <w:r>
        <w:t xml:space="preserve">itself, the first composition-colophon candidate, the byte count</w:t>
      </w:r>
      <w:r>
        <w:t xml:space="preserve"> </w:t>
      </w:r>
      <w:r>
        <w:rPr>
          <w:b/>
          <w:bCs/>
        </w:rPr>
        <w:t xml:space="preserve">with its MD5 checksum</w:t>
      </w:r>
      <w:r>
        <w:t xml:space="preserve"> </w:t>
      </w:r>
      <w:r>
        <w:t xml:space="preserve">(the column asks for both), the</w:t>
      </w:r>
      <w:r>
        <w:t xml:space="preserve"> </w:t>
      </w:r>
      <w:r>
        <w:rPr>
          <w:b/>
          <w:bCs/>
        </w:rPr>
        <w:t xml:space="preserve">folio</w:t>
      </w:r>
      <w:r>
        <w:rPr>
          <w:b/>
          <w:bCs/>
        </w:rP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read from the text’s own @-marks, and the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permalink</w:t>
      </w:r>
      <w:r>
        <w:t xml:space="preserve"> </w:t>
      </w:r>
      <w:r>
        <w:t xml:space="preserve">where the number maps deterministically (KD/KL/TD).</w:t>
      </w:r>
      <w:r>
        <w:t xml:space="preserve"> </w:t>
      </w:r>
      <w:r>
        <w:t xml:space="preserve">Every prefill is a machine suggestion to verify; everything is</w:t>
      </w:r>
      <w:r>
        <w:t xml:space="preserve"> </w:t>
      </w:r>
      <w:r>
        <w:t xml:space="preserve">editable, and anything you saved before outranks the machine’s</w:t>
      </w:r>
      <w:r>
        <w:t xml:space="preserve"> </w:t>
      </w:r>
      <w:r>
        <w:t xml:space="preserve">suggestions on reopen.</w:t>
      </w:r>
    </w:p>
    <w:p>
      <w:pPr>
        <w:pStyle w:val="BodyText"/>
      </w:pPr>
      <w:r>
        <w:rPr>
          <w:b/>
          <w:bCs/>
        </w:rPr>
        <w:t xml:space="preserve">Save worksheet</w:t>
      </w:r>
      <w:r>
        <w:t xml:space="preserve"> </w:t>
      </w:r>
      <w:r>
        <w:t xml:space="preserve">writes a sidecar (</w:t>
      </w:r>
      <w:r>
        <w:rPr>
          <w:rStyle w:val="VerbatimChar"/>
        </w:rPr>
        <w:t xml:space="preserve">&lt;name&gt;.worksheet.tsv</w:t>
      </w:r>
      <w:r>
        <w:t xml:space="preserve">) beside</w:t>
      </w:r>
      <w:r>
        <w:t xml:space="preserve"> </w:t>
      </w:r>
      <w:r>
        <w:t xml:space="preserve">the intake file — working data, never inside the destination tree,</w:t>
      </w:r>
      <w:r>
        <w:t xml:space="preserve"> </w:t>
      </w:r>
      <w:r>
        <w:t xml:space="preserve">never the official catalog.</w:t>
      </w:r>
      <w:r>
        <w:t xml:space="preserve"> </w:t>
      </w:r>
      <w:r>
        <w:rPr>
          <w:b/>
          <w:bCs/>
        </w:rPr>
        <w:t xml:space="preserve">Export row (CSV)…</w:t>
      </w:r>
      <w:r>
        <w:t xml:space="preserve"> </w:t>
      </w:r>
      <w:r>
        <w:t xml:space="preserve">emits one line in</w:t>
      </w:r>
      <w:r>
        <w:t xml:space="preserve"> </w:t>
      </w:r>
      <w:r>
        <w:t xml:space="preserve">the sheet’s own column order, ready to paste into the live</w:t>
      </w:r>
      <w:r>
        <w:t xml:space="preserve"> </w:t>
      </w:r>
      <w:r>
        <w:t xml:space="preserve">spreadsheet — which remains the team’s master.</w:t>
      </w:r>
    </w:p>
    <w:bookmarkEnd w:id="133"/>
    <w:bookmarkStart w:id="134" w:name="propose-this-identity-the-routing"/>
    <w:p>
      <w:pPr>
        <w:pStyle w:val="Heading2"/>
      </w:pPr>
      <w:r>
        <w:t xml:space="preserve">14.17 Propose this identity — the routing</w:t>
      </w:r>
    </w:p>
    <w:p>
      <w:pPr>
        <w:pStyle w:val="FirstParagraph"/>
      </w:pPr>
      <w:r>
        <w:t xml:space="preserve">The suggested-identity card now ends with</w:t>
      </w:r>
      <w:r>
        <w:t xml:space="preserve"> </w:t>
      </w:r>
      <w:r>
        <w:rPr>
          <w:b/>
          <w:bCs/>
        </w:rPr>
        <w:t xml:space="preserve">Propose this</w:t>
      </w:r>
      <w:r>
        <w:rPr>
          <w:b/>
          <w:bCs/>
        </w:rPr>
        <w:t xml:space="preserve"> </w:t>
      </w:r>
      <w:r>
        <w:rPr>
          <w:b/>
          <w:bCs/>
        </w:rPr>
        <w:t xml:space="preserve">identity…</w:t>
      </w:r>
      <w:r>
        <w:t xml:space="preserve"> </w:t>
      </w:r>
      <w:r>
        <w:t xml:space="preserve">— the bridge from the machine’s suggestion to the</w:t>
      </w:r>
      <w:r>
        <w:t xml:space="preserve"> </w:t>
      </w:r>
      <w:r>
        <w:t xml:space="preserve">team’s ordinary decision channel.</w:t>
      </w:r>
    </w:p>
    <w:p>
      <w:pPr>
        <w:pStyle w:val="BodyText"/>
      </w:pPr>
      <w:r>
        <w:t xml:space="preserve">Clicking it files a proposal of kind</w:t>
      </w:r>
      <w:r>
        <w:t xml:space="preserve"> </w:t>
      </w:r>
      <w:r>
        <w:rPr>
          <w:b/>
          <w:bCs/>
        </w:rPr>
        <w:t xml:space="preserve">catalog identity</w:t>
      </w:r>
      <w:r>
        <w:t xml:space="preserve"> </w:t>
      </w:r>
      <w:r>
        <w:t xml:space="preserve">in the</w:t>
      </w:r>
      <w:r>
        <w:t xml:space="preserve"> </w:t>
      </w:r>
      <w:r>
        <w:t xml:space="preserve">shared queue (the same folder-backed channel as every other</w:t>
      </w:r>
      <w:r>
        <w:t xml:space="preserve"> </w:t>
      </w:r>
      <w:r>
        <w:t xml:space="preserve">proposal — Chapter 15), carrying everything a ruler needs: the</w:t>
      </w:r>
      <w:r>
        <w:t xml:space="preserve"> </w:t>
      </w:r>
      <w:r>
        <w:t xml:space="preserve">title read from the text and the rule that read it, the Sanskrit</w:t>
      </w:r>
      <w:r>
        <w:t xml:space="preserve"> </w:t>
      </w:r>
      <w:r>
        <w:t xml:space="preserve">side of the head, the ranked candidates with their scores, and —</w:t>
      </w:r>
      <w:r>
        <w:t xml:space="preserve"> </w:t>
      </w:r>
      <w:r>
        <w:t xml:space="preserve">if you filled one — a snapshot of the file’s worksheet sidecar.</w:t>
      </w:r>
      <w:r>
        <w:t xml:space="preserve"> </w:t>
      </w:r>
      <w:r>
        <w:t xml:space="preserve">Your name rides on it as provenance (set it in Settings first).</w:t>
      </w:r>
    </w:p>
    <w:p>
      <w:pPr>
        <w:pStyle w:val="BodyText"/>
      </w:pPr>
      <w:r>
        <w:t xml:space="preserve">The authority rules on it in Community → Approval, where a</w:t>
      </w:r>
      <w:r>
        <w:t xml:space="preserve"> </w:t>
      </w:r>
      <w:r>
        <w:rPr>
          <w:b/>
          <w:bCs/>
        </w:rPr>
        <w:t xml:space="preserve">Catalog identities</w:t>
      </w:r>
      <w:r>
        <w:t xml:space="preserve"> </w:t>
      </w:r>
      <w:r>
        <w:t xml:space="preserve">filter now sits beside the others. An</w:t>
      </w:r>
      <w:r>
        <w:t xml:space="preserve"> </w:t>
      </w:r>
      <w:r>
        <w:t xml:space="preserve">approved identity leaves through the same</w:t>
      </w:r>
      <w:r>
        <w:t xml:space="preserve"> </w:t>
      </w:r>
      <w:r>
        <w:rPr>
          <w:b/>
          <w:bCs/>
        </w:rPr>
        <w:t xml:space="preserve">Export approved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file as the dictionary material — a candidates</w:t>
      </w:r>
      <w:r>
        <w:t xml:space="preserve"> </w:t>
      </w:r>
      <w:r>
        <w:t xml:space="preserve">package for the data project. The boundary holds at every step:</w:t>
      </w:r>
      <w:r>
        <w:t xml:space="preserve"> </w:t>
      </w:r>
      <w:r>
        <w:t xml:space="preserve">the app never writes the catalog, and catalog numbers remain the</w:t>
      </w:r>
      <w:r>
        <w:t xml:space="preserve"> </w:t>
      </w:r>
      <w:r>
        <w:t xml:space="preserve">registrar’s to issue. A file with no title page is refused with a</w:t>
      </w:r>
      <w:r>
        <w:t xml:space="preserve"> </w:t>
      </w:r>
      <w:r>
        <w:t xml:space="preserve">real answer: there is no machine identity to propose.</w:t>
      </w:r>
    </w:p>
    <w:bookmarkEnd w:id="134"/>
    <w:bookmarkStart w:id="135" w:name="qc-intake-the-two-quality-lanes"/>
    <w:p>
      <w:pPr>
        <w:pStyle w:val="Heading2"/>
      </w:pPr>
      <w:r>
        <w:t xml:space="preserve">14.18 QC intake — the two quality lanes</w:t>
      </w:r>
    </w:p>
    <w:p>
      <w:pPr>
        <w:pStyle w:val="FirstParagraph"/>
      </w:pPr>
      <w:r>
        <w:rPr>
          <w:b/>
          <w:bCs/>
        </w:rPr>
        <w:t xml:space="preserve">QC intake…</w:t>
      </w:r>
      <w:r>
        <w:t xml:space="preserve"> </w:t>
      </w:r>
      <w:r>
        <w:t xml:space="preserve">runs two checks over the whole intake tree, both</w:t>
      </w:r>
      <w:r>
        <w:t xml:space="preserve"> </w:t>
      </w:r>
      <w:r>
        <w:t xml:space="preserve">suggestion-only — every flag is a question with its evidence, never</w:t>
      </w:r>
      <w:r>
        <w:t xml:space="preserve"> </w:t>
      </w:r>
      <w:r>
        <w:t xml:space="preserve">a verdict, and nothing is changed: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Title vs translation.</w:t>
      </w:r>
      <w:r>
        <w:t xml:space="preserve"> </w:t>
      </w:r>
      <w:r>
        <w:t xml:space="preserve">The copy-paste disease: a filename</w:t>
      </w:r>
      <w:r>
        <w:t xml:space="preserve"> </w:t>
      </w:r>
      <w:r>
        <w:t xml:space="preserve">whose English half belongs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text. A file is</w:t>
      </w:r>
      <w:r>
        <w:t xml:space="preserve"> </w:t>
      </w:r>
      <w:r>
        <w:t xml:space="preserve">flagged when its English matches another work’s published English</w:t>
      </w:r>
      <w:r>
        <w:t xml:space="preserve"> </w:t>
      </w:r>
      <w:r>
        <w:t xml:space="preserve">almost entirely while the two Tibetan titles barely share a</w:t>
      </w:r>
      <w:r>
        <w:t xml:space="preserve"> </w:t>
      </w:r>
      <w:r>
        <w:t xml:space="preserve">syllable — the report shows both works and both percentages and</w:t>
      </w:r>
      <w:r>
        <w:t xml:space="preserve"> </w:t>
      </w:r>
      <w:r>
        <w:t xml:space="preserve">asks the question: is the English half from the wrong text?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Shared titles, told apart by colophon.</w:t>
      </w:r>
      <w:r>
        <w:t xml:space="preserve"> </w:t>
      </w:r>
      <w:r>
        <w:t xml:space="preserve">Files carrying the</w:t>
      </w:r>
      <w:r>
        <w:t xml:space="preserve"> </w:t>
      </w:r>
      <w:r>
        <w:t xml:space="preserve">same Tibetan title are grouped, and their colophons compared —</w:t>
      </w:r>
      <w:r>
        <w:t xml:space="preserve"> </w:t>
      </w:r>
      <w:r>
        <w:t xml:space="preserve">the session lesson that two works can share a title. Verdicts</w:t>
      </w:r>
      <w:r>
        <w:t xml:space="preserve"> </w:t>
      </w:r>
      <w:r>
        <w:t xml:space="preserve">name their evidence:</w:t>
      </w:r>
      <w:r>
        <w:t xml:space="preserve"> </w:t>
      </w:r>
      <w:r>
        <w:rPr>
          <w:i/>
          <w:iCs/>
        </w:rPr>
        <w:t xml:space="preserve">same colophon — true duplicates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different colophons — distinct works sharing a title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colophon evidence — needs a human read</w:t>
      </w:r>
      <w:r>
        <w:t xml:space="preserve">.</w:t>
      </w:r>
    </w:p>
    <w:p>
      <w:pPr>
        <w:pStyle w:val="FirstParagraph"/>
      </w:pPr>
      <w:r>
        <w:t xml:space="preserve">Run against our own installed Sungbum, the lanes found real work:</w:t>
      </w:r>
      <w:r>
        <w:t xml:space="preserve"> </w:t>
      </w:r>
      <w:r>
        <w:t xml:space="preserve">8 mismatch flags and 200 shared-title groups (107 reading as true</w:t>
      </w:r>
      <w:r>
        <w:t xml:space="preserve"> </w:t>
      </w:r>
      <w:r>
        <w:t xml:space="preserve">duplicate filings, 18 as distinct works, 75 needing a human) — the</w:t>
      </w:r>
      <w:r>
        <w:t xml:space="preserve"> </w:t>
      </w:r>
      <w:r>
        <w:t xml:space="preserve">battery re-measures this on every test run.</w:t>
      </w:r>
    </w:p>
    <w:bookmarkEnd w:id="135"/>
    <w:bookmarkStart w:id="136" w:name="X3be440718c2fb96da287412f93f33579e0e8f33"/>
    <w:p>
      <w:pPr>
        <w:pStyle w:val="Heading2"/>
      </w:pPr>
      <w:r>
        <w:t xml:space="preserve">14.19 Where might this belong? — shelf suggestions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shelf selected and, instead of</w:t>
      </w:r>
      <w:r>
        <w:t xml:space="preserve"> </w:t>
      </w:r>
      <w:r>
        <w:t xml:space="preserve">a bare refusal, the panel now answers the real question:</w:t>
      </w:r>
      <w: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w:r>
        <w:rPr>
          <w:i/>
          <w:iCs/>
        </w:rPr>
        <w:t xml:space="preserve">might this belong?</w:t>
      </w:r>
      <w:r>
        <w:t xml:space="preserve"> </w:t>
      </w:r>
      <w:r>
        <w:t xml:space="preserve">Ranked existing shelves of the destination</w:t>
      </w:r>
      <w:r>
        <w:t xml:space="preserve"> </w:t>
      </w:r>
      <w:r>
        <w:t xml:space="preserve">tree, each with its reasons: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the shelf’s own name appears in the title</w:t>
      </w:r>
      <w:r>
        <w:t xml:space="preserve"> </w:t>
      </w:r>
      <w:r>
        <w:t xml:space="preserve">— the subject folders</w:t>
      </w:r>
      <w:r>
        <w:t xml:space="preserve"> </w:t>
      </w:r>
      <w:r>
        <w:t xml:space="preserve">are named by their phrases, and the file’s title carries them;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closest title here</w:t>
      </w:r>
      <w:r>
        <w:t xml:space="preserve"> </w:t>
      </w:r>
      <w:r>
        <w:t xml:space="preserve">— the nearest neighbor by syllable overlap,</w:t>
      </w:r>
      <w:r>
        <w:t xml:space="preserve"> </w:t>
      </w:r>
      <w:r>
        <w:t xml:space="preserve">named;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works by the same author already here</w:t>
      </w:r>
      <w:r>
        <w:t xml:space="preserve"> </w:t>
      </w:r>
      <w:r>
        <w:t xml:space="preserve">— counted, deliberately a</w:t>
      </w:r>
      <w:r>
        <w:t xml:space="preserve"> </w:t>
      </w:r>
      <w:r>
        <w:t xml:space="preserve">light signal (a prolific author’s biggest folder must not drag</w:t>
      </w:r>
      <w:r>
        <w:t xml:space="preserve"> </w:t>
      </w:r>
      <w:r>
        <w:t xml:space="preserve">every file to it).</w:t>
      </w:r>
    </w:p>
    <w:p>
      <w:pPr>
        <w:pStyle w:val="FirstParagraph"/>
      </w:pPr>
      <w:r>
        <w:t xml:space="preserve">Click a suggested shelf to select it in the right tree, then Move</w:t>
      </w:r>
      <w:r>
        <w:t xml:space="preserve"> </w:t>
      </w:r>
      <w:r>
        <w:t xml:space="preserve">to shelf… again to confirm — the machine never places a book.</w:t>
      </w:r>
    </w:p>
    <w:p>
      <w:pPr>
        <w:pStyle w:val="BodyText"/>
      </w:pPr>
      <w:r>
        <w:t xml:space="preserve">The honest numbers are printed on the report: measured on held-out</w:t>
      </w:r>
      <w:r>
        <w:t xml:space="preserve"> </w:t>
      </w:r>
      <w:r>
        <w:t xml:space="preserve">files of the installed Sungbum, the right shelf leads the list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31%</w:t>
      </w:r>
      <w:r>
        <w:t xml:space="preserve"> </w:t>
      </w:r>
      <w:r>
        <w:t xml:space="preserve">of the time and appears in the top three about</w:t>
      </w:r>
      <w:r>
        <w:t xml:space="preserve"> </w:t>
      </w:r>
      <w:r>
        <w:rPr>
          <w:b/>
          <w:bCs/>
        </w:rPr>
        <w:t xml:space="preserve">43%</w:t>
      </w:r>
      <w:r>
        <w:t xml:space="preserve"> </w:t>
      </w:r>
      <w:r>
        <w:t xml:space="preserve">— an aid, not an oracle. That ceiling is the design’s own</w:t>
      </w:r>
      <w:r>
        <w:t xml:space="preserve"> </w:t>
      </w:r>
      <w:r>
        <w:t xml:space="preserve">lesson: shelf choice is the fine-grained subject judgment the</w:t>
      </w:r>
      <w:r>
        <w:t xml:space="preserve"> </w:t>
      </w:r>
      <w:r>
        <w:t xml:space="preserve">sessions reserve for trained humans, which is exactly why the</w:t>
      </w:r>
      <w:r>
        <w:t xml:space="preserve"> </w:t>
      </w:r>
      <w:r>
        <w:t xml:space="preserve">human confirms every move.</w:t>
      </w:r>
    </w:p>
    <w:bookmarkEnd w:id="136"/>
    <w:bookmarkStart w:id="137" w:name="what-the-workflow-will-do-next"/>
    <w:p>
      <w:pPr>
        <w:pStyle w:val="Heading2"/>
      </w:pPr>
      <w:r>
        <w:t xml:space="preserve">14.20 What the workflow will do next</w:t>
      </w:r>
    </w:p>
    <w:p>
      <w:pPr>
        <w:pStyle w:val="FirstParagraph"/>
      </w:pPr>
      <w:r>
        <w:t xml:space="preserve">The workflow’s core is complete: census, identity, audit, splits,</w:t>
      </w:r>
      <w:r>
        <w:t xml:space="preserve"> </w:t>
      </w:r>
      <w:r>
        <w:t xml:space="preserve">naming, the ASCII list, the title workbench, tree comparison,</w:t>
      </w:r>
      <w:r>
        <w:t xml:space="preserve"> </w:t>
      </w:r>
      <w:r>
        <w:t xml:space="preserve">register, provenance, worksheet, routing, QC, and the handoff all</w:t>
      </w:r>
      <w:r>
        <w:t xml:space="preserve"> </w:t>
      </w:r>
      <w:r>
        <w:t xml:space="preserve">ship above. What comes next grows from use — the team’s own</w:t>
      </w:r>
      <w:r>
        <w:t xml:space="preserve"> </w:t>
      </w:r>
      <w:r>
        <w:t xml:space="preserve">sessions will show where the workbench should deepen.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3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39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39"/>
    <w:bookmarkStart w:id="140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form offers ten kinds (two more ride the channel from</w:t>
      </w:r>
      <w:r>
        <w:t xml:space="preserve"> </w:t>
      </w:r>
      <w:r>
        <w:t xml:space="preserve">elsewhere: spelling flags filed by the Overlay’s doubt marks,</w:t>
      </w:r>
      <w:r>
        <w:t xml:space="preserve"> </w:t>
      </w:r>
      <w:r>
        <w:t xml:space="preserve">and catalog identities filed from the Catalog pane’s</w:t>
      </w:r>
      <w:r>
        <w:t xml:space="preserve"> </w:t>
      </w:r>
      <w:r>
        <w:t xml:space="preserve">suggested-identity card). The ten, and what each means: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40"/>
    <w:bookmarkStart w:id="141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41"/>
    <w:bookmarkStart w:id="142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9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9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9"/>
        </w:numPr>
      </w:pPr>
      <w:r>
        <w:t xml:space="preserve">the filing date;</w:t>
      </w:r>
    </w:p>
    <w:p>
      <w:pPr>
        <w:pStyle w:val="Compact"/>
        <w:numPr>
          <w:ilvl w:val="0"/>
          <w:numId w:val="1109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50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44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10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44"/>
    <w:bookmarkStart w:id="145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11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45"/>
    <w:bookmarkStart w:id="146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46"/>
    <w:bookmarkStart w:id="147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7"/>
    <w:bookmarkStart w:id="148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3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8"/>
    <w:bookmarkStart w:id="149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61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51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51"/>
    <w:bookmarkStart w:id="152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52"/>
    <w:bookmarkStart w:id="153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5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5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5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5"/>
        </w:numPr>
      </w:pPr>
      <w:r>
        <w:t xml:space="preserve">the build line (C++20, the Qt version, the number of automated</w:t>
      </w:r>
      <w:r>
        <w:t xml:space="preserve"> </w:t>
      </w:r>
      <w:r>
        <w:t xml:space="preserve">test batteries — counted at build time, so it is always current</w:t>
      </w:r>
      <w:r>
        <w:t xml:space="preserve"> </w:t>
      </w:r>
      <w:r>
        <w:t xml:space="preserve">—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6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6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6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53"/>
    <w:bookmarkStart w:id="154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54"/>
    <w:bookmarkStart w:id="155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55"/>
    <w:bookmarkStart w:id="156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56"/>
    <w:bookmarkStart w:id="157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7"/>
    <w:bookmarkStart w:id="158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203 checks at this writing, 2026-08-20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fifty-five automated test batteries (as of 2026-08-20; the</w:t>
      </w:r>
      <w:r>
        <w:t xml:space="preserve"> </w:t>
      </w:r>
      <w:r>
        <w:t xml:space="preserve">count grows with every feature)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8"/>
    <w:bookmarkStart w:id="159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59"/>
    <w:bookmarkStart w:id="160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📎 apparatus</w:t>
      </w:r>
      <w:r>
        <w:t xml:space="preserve"> </w:t>
      </w:r>
      <w:r>
        <w:t xml:space="preserve">rows — the published footnotes and</w:t>
      </w:r>
      <w:r>
        <w:t xml:space="preserve"> </w:t>
      </w:r>
      <w:r>
        <w:t xml:space="preserve">bibliography entries;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👤 person</w:t>
      </w:r>
      <w:r>
        <w:t xml:space="preserve"> </w:t>
      </w:r>
      <w:r>
        <w:t xml:space="preserve">rows — the authors layer: type any part of a</w:t>
      </w:r>
      <w:r>
        <w:t xml:space="preserve"> </w:t>
      </w:r>
      <w:r>
        <w:t xml:space="preserve">name (</w:t>
      </w:r>
      <w:r>
        <w:rPr>
          <w:i/>
          <w:iCs/>
        </w:rPr>
        <w:t xml:space="preserve">gzhon nu dpal</w:t>
      </w:r>
      <w:r>
        <w:t xml:space="preserve">, an anglicized fragment, a BDRC variant)</w:t>
      </w:r>
      <w:r>
        <w:t xml:space="preserve"> </w:t>
      </w:r>
      <w:r>
        <w:t xml:space="preserve">and matching authors appear with their dates and catalog work</w:t>
      </w:r>
      <w:r>
        <w:t xml:space="preserve"> </w:t>
      </w:r>
      <w:r>
        <w:t xml:space="preserve">count; Enter opens the person’s BDRC page (with Treasury of</w:t>
      </w:r>
      <w:r>
        <w:t xml:space="preserve"> </w:t>
      </w:r>
      <w:r>
        <w:t xml:space="preserve">Lives where linked). Their works surface right below through</w:t>
      </w:r>
      <w:r>
        <w:t xml:space="preserve"> </w:t>
      </w:r>
      <w:r>
        <w:t xml:space="preserve">the file lane — the same query finds both;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2026-08-20T16:23:31Z</dcterms:created>
  <dcterms:modified xsi:type="dcterms:W3CDTF">2026-08-20T16:23:31Z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