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87ec68369af84ca1270d9cacfa7398411f80b8"/>
    <w:p>
      <w:pPr>
        <w:pStyle w:val="Heading1"/>
      </w:pPr>
      <w:r>
        <w:t xml:space="preserve">Diamond Cutter Translation Tool Daily Digest #6 — Sunday, September 13 2026</w:t>
      </w:r>
    </w:p>
    <w:p>
      <w:pPr>
        <w:pStyle w:val="FirstParagraph"/>
      </w:pPr>
      <w:r>
        <w:rPr>
          <w:b/>
          <w:bCs/>
        </w:rPr>
        <w:t xml:space="preserve">Headline.</w:t>
      </w:r>
      <w:r>
        <w:t xml:space="preserve"> </w:t>
      </w:r>
      <w:r>
        <w:t xml:space="preserve">I photographed pages from a Tibetan grammar textbook I own and</w:t>
      </w:r>
      <w:r>
        <w:t xml:space="preserve"> </w:t>
      </w:r>
      <w:r>
        <w:t xml:space="preserve">fed them into the work, and running the book’s own example sentences through</w:t>
      </w:r>
      <w:r>
        <w:t xml:space="preserve"> </w:t>
      </w:r>
      <w:r>
        <w:t xml:space="preserve">our reader found five real faults in it — including one where the tool was</w:t>
      </w:r>
      <w:r>
        <w:t xml:space="preserve"> </w:t>
      </w:r>
      <w:r>
        <w:t xml:space="preserve">confidently naming the commonest particle in the Tibetan language as the verb</w:t>
      </w:r>
      <w:r>
        <w:t xml:space="preserve"> </w:t>
      </w:r>
      <w:r>
        <w:t xml:space="preserve">of the sentence.</w:t>
      </w:r>
    </w:p>
    <w:bookmarkStart w:id="15" w:name="what-got-done"/>
    <w:p>
      <w:pPr>
        <w:pStyle w:val="Heading2"/>
      </w:pPr>
      <w:r>
        <w:t xml:space="preserve">What got done</w:t>
      </w:r>
    </w:p>
    <w:bookmarkStart w:id="9" w:name="X6dafd8a46004bea8e1cd8a51e4b5bcc335212a4"/>
    <w:p>
      <w:pPr>
        <w:pStyle w:val="Heading3"/>
      </w:pPr>
      <w:r>
        <w:t xml:space="preserve">The reader learned three sentence shapes it had no name for</w:t>
      </w:r>
    </w:p>
    <w:p>
      <w:pPr>
        <w:pStyle w:val="FirstParagraph"/>
      </w:pPr>
      <w:r>
        <w:t xml:space="preserve">Classical Tibetan leaves things out far more often than English does, and our</w:t>
      </w:r>
      <w:r>
        <w:t xml:space="preserve"> </w:t>
      </w:r>
      <w:r>
        <w:t xml:space="preserve">tool had no way to say so.</w:t>
      </w:r>
    </w:p>
    <w:p>
      <w:pPr>
        <w:pStyle w:val="BodyText"/>
      </w:pPr>
      <w:r>
        <w:rPr>
          <w:b/>
          <w:bCs/>
        </w:rPr>
        <w:t xml:space="preserve">A verb can be used in a way that changes what everything around it means.</w:t>
      </w:r>
      <w:r>
        <w:t xml:space="preserve"> </w:t>
      </w:r>
      <w:r>
        <w:t xml:space="preserve">A verb that normally takes a</w:t>
      </w:r>
      <w:r>
        <w:t xml:space="preserve"> </w:t>
      </w:r>
      <w:r>
        <w:rPr>
          <w:i/>
          <w:iCs/>
        </w:rPr>
        <w:t xml:space="preserve">doer</w:t>
      </w:r>
      <w:r>
        <w:t xml:space="preserve"> </w:t>
      </w:r>
      <w:r>
        <w:t xml:space="preserve">can be used in a construction where it</w:t>
      </w:r>
      <w:r>
        <w:t xml:space="preserve"> </w:t>
      </w:r>
      <w:r>
        <w:t xml:space="preserve">takes a</w:t>
      </w:r>
      <w:r>
        <w:t xml:space="preserve"> </w:t>
      </w:r>
      <w:r>
        <w:rPr>
          <w:i/>
          <w:iCs/>
        </w:rPr>
        <w:t xml:space="preserve">subject</w:t>
      </w:r>
      <w:r>
        <w:t xml:space="preserve"> </w:t>
      </w:r>
      <w:r>
        <w:t xml:space="preserve">instead — the book calls it attributive syntax,</w:t>
      </w:r>
      <w:r>
        <w:t xml:space="preserve"> </w:t>
      </w:r>
      <w:r>
        <w:t xml:space="preserve">“A is called</w:t>
      </w:r>
      <w:r>
        <w:t xml:space="preserve"> </w:t>
      </w:r>
      <w:r>
        <w:t xml:space="preserve">B”</w:t>
      </w:r>
      <w:r>
        <w:t xml:space="preserve">. Our tool assumed a verb’s type settled the shape of its sentence. It does</w:t>
      </w:r>
      <w:r>
        <w:t xml:space="preserve"> </w:t>
      </w:r>
      <w:r>
        <w:t xml:space="preserve">not. The tool now offers both readings and says outright that it cannot tell</w:t>
      </w:r>
      <w:r>
        <w:t xml:space="preserve"> </w:t>
      </w:r>
      <w:r>
        <w:t xml:space="preserve">which is meant.</w:t>
      </w:r>
    </w:p>
    <w:p>
      <w:pPr>
        <w:pStyle w:val="BodyText"/>
      </w:pPr>
      <w:r>
        <w:rPr>
          <w:b/>
          <w:bCs/>
        </w:rPr>
        <w:t xml:space="preserve">A Tibetan sentence can have no verb at all.</w:t>
      </w:r>
      <w:r>
        <w:t xml:space="preserve"> </w:t>
      </w:r>
      <w:r>
        <w:t xml:space="preserve">Two kinds. In the first,</w:t>
      </w:r>
      <w:r>
        <w:t xml:space="preserve"> </w:t>
      </w:r>
      <w:r>
        <w:t xml:space="preserve">“A is</w:t>
      </w:r>
      <w:r>
        <w:t xml:space="preserve"> </w:t>
      </w:r>
      <w:r>
        <w:t xml:space="preserve">B”</w:t>
      </w:r>
      <w:r>
        <w:t xml:space="preserve">, the word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simply never written — the book calls this by far the most</w:t>
      </w:r>
      <w:r>
        <w:t xml:space="preserve"> </w:t>
      </w:r>
      <w:r>
        <w:t xml:space="preserve">common sentence shape in this literature. In the second, a sentence of</w:t>
      </w:r>
      <w:r>
        <w:t xml:space="preserve"> </w:t>
      </w:r>
      <w:r>
        <w:t xml:space="preserve">existence or possession leaves out the word</w:t>
      </w:r>
      <w:r>
        <w:t xml:space="preserve"> </w:t>
      </w:r>
      <w:r>
        <w:rPr>
          <w:i/>
          <w:iCs/>
        </w:rPr>
        <w:t xml:space="preserve">has</w:t>
      </w:r>
      <w:r>
        <w:t xml:space="preserve">. The tool now recognises the</w:t>
      </w:r>
      <w:r>
        <w:t xml:space="preserve"> </w:t>
      </w:r>
      <w:r>
        <w:t xml:space="preserve">shape of each and names it, while leaving the reader the judgement English</w:t>
      </w:r>
      <w:r>
        <w:t xml:space="preserve"> </w:t>
      </w:r>
      <w:r>
        <w:t xml:space="preserve">forces and Tibetan does not: whether something</w:t>
      </w:r>
      <w:r>
        <w:t xml:space="preserve"> </w:t>
      </w:r>
      <w:r>
        <w:rPr>
          <w:i/>
          <w:iCs/>
        </w:rPr>
        <w:t xml:space="preserve">has</w:t>
      </w:r>
      <w:r>
        <w:t xml:space="preserve"> </w:t>
      </w:r>
      <w:r>
        <w:t xml:space="preserve">something, or</w:t>
      </w:r>
      <w:r>
        <w:t xml:space="preserve"> </w:t>
      </w:r>
      <w:r>
        <w:rPr>
          <w:i/>
          <w:iCs/>
        </w:rPr>
        <w:t xml:space="preserve">exists</w:t>
      </w:r>
      <w:r>
        <w:t xml:space="preserve"> </w:t>
      </w:r>
      <w:r>
        <w:t xml:space="preserve">somewhere.</w:t>
      </w:r>
    </w:p>
    <w:bookmarkEnd w:id="9"/>
    <w:bookmarkStart w:id="10" w:name="Xef09fd586e9dcaaf8d4e85f1d3d2cb5f560584b"/>
    <w:p>
      <w:pPr>
        <w:pStyle w:val="Heading3"/>
      </w:pPr>
      <w:r>
        <w:t xml:space="preserve">Five faults, found by running the book’s own sentences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tool was calling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b/>
          <w:bCs/>
        </w:rPr>
        <w:t xml:space="preserve">the verb of the sentence.</w:t>
      </w:r>
      <w:r>
        <w:t xml:space="preserve"> </w:t>
      </w:r>
      <w:r>
        <w:rPr>
          <w:rStyle w:val="VerbatimChar"/>
        </w:rPr>
        <w:t xml:space="preserve">la</w:t>
      </w:r>
      <w:r>
        <w:t xml:space="preserve"> </w:t>
      </w:r>
      <w:r>
        <w:t xml:space="preserve">is the</w:t>
      </w:r>
      <w:r>
        <w:t xml:space="preserve"> </w:t>
      </w:r>
      <w:r>
        <w:t xml:space="preserve">commonest particle in Tibetan — closer to</w:t>
      </w:r>
      <w:r>
        <w:t xml:space="preserve"> </w:t>
      </w:r>
      <w:r>
        <w:t xml:space="preserve">“to”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than to any verb.</w:t>
      </w:r>
      <w:r>
        <w:t xml:space="preserve"> </w:t>
      </w:r>
      <w:r>
        <w:t xml:space="preserve">Its dictionary entry carries 108 meanings, one of which is a pattern rather</w:t>
      </w:r>
      <w:r>
        <w:t xml:space="preserve"> </w:t>
      </w:r>
      <w:r>
        <w:t xml:space="preserve">than a definition, and our tool accepted anything beginning with the word</w:t>
      </w:r>
      <w:r>
        <w:t xml:space="preserve"> </w:t>
      </w:r>
      <w:r>
        <w:t xml:space="preserve">“to”</w:t>
      </w:r>
      <w:r>
        <w:t xml:space="preserve"> </w:t>
      </w:r>
      <w:r>
        <w:t xml:space="preserve">as evidence of a verb. Across three thousand sample passages,</w:t>
      </w:r>
      <w:r>
        <w:t xml:space="preserve"> </w:t>
      </w:r>
      <w:r>
        <w:rPr>
          <w:rStyle w:val="VerbatimChar"/>
        </w:rPr>
        <w:t xml:space="preserve">la</w:t>
      </w:r>
      <w:r>
        <w:t xml:space="preserve"> </w:t>
      </w:r>
      <w:r>
        <w:t xml:space="preserve">and</w:t>
      </w:r>
      <w:r>
        <w:t xml:space="preserve"> </w:t>
      </w:r>
      <w:r>
        <w:t xml:space="preserve">one other particle were the two most frequently named</w:t>
      </w:r>
      <w:r>
        <w:t xml:space="preserve"> </w:t>
      </w:r>
      <w:r>
        <w:t xml:space="preserve">“verbs”</w:t>
      </w:r>
      <w:r>
        <w:t xml:space="preserve"> </w:t>
      </w:r>
      <w:r>
        <w:t xml:space="preserve">in the whole</w:t>
      </w:r>
      <w:r>
        <w:t xml:space="preserve"> </w:t>
      </w:r>
      <w:r>
        <w:t xml:space="preserve">corpus.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 called verbs intransitive on no evidence.</w:t>
      </w:r>
      <w:r>
        <w:t xml:space="preserve"> </w:t>
      </w:r>
      <w:r>
        <w:t xml:space="preserve">Whenever a verb was absent</w:t>
      </w:r>
      <w:r>
        <w:t xml:space="preserve"> </w:t>
      </w:r>
      <w:r>
        <w:t xml:space="preserve">from its reference tables, the tool announced the verb took no object — and</w:t>
      </w:r>
      <w:r>
        <w:t xml:space="preserve"> </w:t>
      </w:r>
      <w:r>
        <w:t xml:space="preserve">in the sentence I tested it, that was the opposite of the truth, printed</w:t>
      </w:r>
      <w:r>
        <w:t xml:space="preserve"> </w:t>
      </w:r>
      <w:r>
        <w:t xml:space="preserve">directly underneath a line saying the sentence had a doer.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 cut Tibetan words in half.</w:t>
      </w:r>
      <w:r>
        <w:t xml:space="preserve"> </w:t>
      </w:r>
      <w:r>
        <w:t xml:space="preserve">Two words — one meaning</w:t>
      </w:r>
      <w:r>
        <w:t xml:space="preserve"> </w:t>
      </w:r>
      <w:r>
        <w:t xml:space="preserve">“visual</w:t>
      </w:r>
      <w:r>
        <w:t xml:space="preserve"> </w:t>
      </w:r>
      <w:r>
        <w:t xml:space="preserve">consciousness”</w:t>
      </w:r>
      <w:r>
        <w:t xml:space="preserve">, one meaning</w:t>
      </w:r>
      <w:r>
        <w:t xml:space="preserve"> </w:t>
      </w:r>
      <w:r>
        <w:t xml:space="preserve">“the first”</w:t>
      </w:r>
      <w:r>
        <w:t xml:space="preserve"> </w:t>
      </w:r>
      <w:r>
        <w:t xml:space="preserve">— were being split down the middle,</w:t>
      </w:r>
      <w:r>
        <w:t xml:space="preserve"> </w:t>
      </w:r>
      <w:r>
        <w:t xml:space="preserve">because part of each looks like a grammatical particle when read letter by</w:t>
      </w:r>
      <w:r>
        <w:t xml:space="preserve"> </w:t>
      </w:r>
      <w:r>
        <w:t xml:space="preserve">letter. A sentence cannot end in the middle of a word, and now it doesn’t.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 hunted for a verb where there was nowhere for one to be.</w:t>
      </w:r>
      <w:r>
        <w:t xml:space="preserve"> </w:t>
      </w:r>
      <w:r>
        <w:t xml:space="preserve">In 27% of</w:t>
      </w:r>
      <w:r>
        <w:t xml:space="preserve"> </w:t>
      </w:r>
      <w:r>
        <w:t xml:space="preserve">clauses the sentence structure leaves no slot for a verb at all. The tool</w:t>
      </w:r>
      <w:r>
        <w:t xml:space="preserve"> </w:t>
      </w:r>
      <w:r>
        <w:t xml:space="preserve">searched anyway, and called what it found trustworthy in nearly half of</w:t>
      </w:r>
      <w:r>
        <w:t xml:space="preserve"> </w:t>
      </w:r>
      <w:r>
        <w:t xml:space="preserve">those cases.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It named a verbal noun as the sentence’s verb, confidently.</w:t>
      </w:r>
      <w:r>
        <w:t xml:space="preserve"> </w:t>
      </w:r>
      <w:r>
        <w:t xml:space="preserve">This is the</w:t>
      </w:r>
      <w:r>
        <w:t xml:space="preserve"> </w:t>
      </w:r>
      <w:r>
        <w:t xml:space="preserve">construction the textbook singles out as the hard one, and the tool was</w:t>
      </w:r>
      <w:r>
        <w:t xml:space="preserve"> </w:t>
      </w:r>
      <w:r>
        <w:t xml:space="preserve">getting it wrong with confidence rather than saying it was unsure.</w:t>
      </w:r>
    </w:p>
    <w:bookmarkEnd w:id="10"/>
    <w:bookmarkStart w:id="11" w:name="an-idea-of-mine-that-measuring-killed"/>
    <w:p>
      <w:pPr>
        <w:pStyle w:val="Heading3"/>
      </w:pPr>
      <w:r>
        <w:t xml:space="preserve">An idea of mine that measuring killed</w:t>
      </w:r>
    </w:p>
    <w:p>
      <w:pPr>
        <w:pStyle w:val="FirstParagraph"/>
      </w:pPr>
      <w:r>
        <w:t xml:space="preserve">I was about to teach the reader a rule: that a word ending in a particular</w:t>
      </w:r>
      <w:r>
        <w:t xml:space="preserve"> </w:t>
      </w:r>
      <w:r>
        <w:t xml:space="preserve">syllable is a noun, not a verb. Before changing anything I measured how many</w:t>
      </w:r>
      <w:r>
        <w:t xml:space="preserve"> </w:t>
      </w:r>
      <w:r>
        <w:t xml:space="preserve">real verbs take that ending.</w:t>
      </w:r>
      <w:r>
        <w:t xml:space="preserve"> </w:t>
      </w:r>
      <w:r>
        <w:rPr>
          <w:b/>
          <w:bCs/>
        </w:rPr>
        <w:t xml:space="preserve">The dictionary records 43% of its verbs in</w:t>
      </w:r>
      <w:r>
        <w:rPr>
          <w:b/>
          <w:bCs/>
        </w:rPr>
        <w:t xml:space="preserve"> </w:t>
      </w:r>
      <w:r>
        <w:rPr>
          <w:b/>
          <w:bCs/>
        </w:rPr>
        <w:t xml:space="preserve">exactly that form.</w:t>
      </w:r>
      <w:r>
        <w:t xml:space="preserve"> </w:t>
      </w:r>
      <w:r>
        <w:t xml:space="preserve">The rule would have thrown away nearly half the evidence</w:t>
      </w:r>
      <w:r>
        <w:t xml:space="preserve"> </w:t>
      </w:r>
      <w:r>
        <w:t xml:space="preserve">the tool relies on. It is written down as a dead end so nobody tries it again.</w:t>
      </w:r>
    </w:p>
    <w:bookmarkEnd w:id="11"/>
    <w:bookmarkStart w:id="12" w:name="X293c147a6b2e5ba94012be03c99f1b9a0c06c55"/>
    <w:p>
      <w:pPr>
        <w:pStyle w:val="Heading3"/>
      </w:pPr>
      <w:r>
        <w:t xml:space="preserve">A second opinion, from outside our tradition</w:t>
      </w:r>
    </w:p>
    <w:p>
      <w:pPr>
        <w:pStyle w:val="FirstParagraph"/>
      </w:pPr>
      <w:r>
        <w:t xml:space="preserve">Everything our tool knows about Tibetan grammar descends from one line of</w:t>
      </w:r>
      <w:r>
        <w:t xml:space="preserve"> </w:t>
      </w:r>
      <w:r>
        <w:t xml:space="preserve">teachers. That means its internal rules can agree with each other perfectly</w:t>
      </w:r>
      <w:r>
        <w:t xml:space="preserve"> </w:t>
      </w:r>
      <w:r>
        <w:t xml:space="preserve">and still be wrong together. Two grammars from a completely different</w:t>
      </w:r>
      <w:r>
        <w:t xml:space="preserve"> </w:t>
      </w:r>
      <w:r>
        <w:t xml:space="preserve">tradition — 1883 and 1912, both long out of copyright — are now on the machine</w:t>
      </w:r>
      <w:r>
        <w:t xml:space="preserve"> </w:t>
      </w:r>
      <w:r>
        <w:t xml:space="preserve">as an outside check. The older one immediately confirmed a correction we had</w:t>
      </w:r>
      <w:r>
        <w:t xml:space="preserve"> </w:t>
      </w:r>
      <w:r>
        <w:t xml:space="preserve">made the day before on the textbook’s authority alone.</w:t>
      </w:r>
    </w:p>
    <w:bookmarkEnd w:id="12"/>
    <w:bookmarkStart w:id="13" w:name="the-reading-page-rebuilt"/>
    <w:p>
      <w:pPr>
        <w:pStyle w:val="Heading3"/>
      </w:pPr>
      <w:r>
        <w:t xml:space="preserve">The reading page, rebuilt</w:t>
      </w:r>
    </w:p>
    <w:p>
      <w:pPr>
        <w:pStyle w:val="FirstParagraph"/>
      </w:pPr>
      <w:r>
        <w:t xml:space="preserve">The page had grown two blocks of statistics before any Tibetan appeared, and a</w:t>
      </w:r>
      <w:r>
        <w:t xml:space="preserve"> </w:t>
      </w:r>
      <w:r>
        <w:t xml:space="preserve">table that stated the same fact in three separate columns. It now opens with</w:t>
      </w:r>
      <w:r>
        <w:t xml:space="preserve"> </w:t>
      </w:r>
      <w:r>
        <w:t xml:space="preserve">two short lines, and the table says each thing once.</w:t>
      </w:r>
    </w:p>
    <w:bookmarkEnd w:id="13"/>
    <w:bookmarkStart w:id="14" w:name="a-correction"/>
    <w:p>
      <w:pPr>
        <w:pStyle w:val="Heading3"/>
      </w:pPr>
      <w:r>
        <w:t xml:space="preserve">A correction</w:t>
      </w:r>
    </w:p>
    <w:p>
      <w:pPr>
        <w:pStyle w:val="FirstParagraph"/>
      </w:pPr>
      <w:r>
        <w:t xml:space="preserve">I published a figure this morning saying the tool could not identify a verb in</w:t>
      </w:r>
      <w:r>
        <w:t xml:space="preserve"> </w:t>
      </w:r>
      <w:r>
        <w:t xml:space="preserve">52% of the corpus. That was wrong. My sample had been filtered by length</w:t>
      </w:r>
      <w:r>
        <w:t xml:space="preserve"> </w:t>
      </w:r>
      <w:r>
        <w:t xml:space="preserve">rather than by whether the text was Tibetan, so it included English headings</w:t>
      </w:r>
      <w:r>
        <w:t xml:space="preserve"> </w:t>
      </w:r>
      <w:r>
        <w:t xml:space="preserve">and a fragment of a mantra. Measured properly, it is</w:t>
      </w:r>
      <w:r>
        <w:t xml:space="preserve"> </w:t>
      </w:r>
      <w:r>
        <w:rPr>
          <w:b/>
          <w:bCs/>
        </w:rPr>
        <w:t xml:space="preserve">20%</w:t>
      </w:r>
      <w:r>
        <w:t xml:space="preserve">. The wrong figure</w:t>
      </w:r>
      <w:r>
        <w:t xml:space="preserve"> </w:t>
      </w:r>
      <w:r>
        <w:t xml:space="preserve">and how it happened are recorded beside the right one.</w:t>
      </w:r>
    </w:p>
    <w:bookmarkEnd w:id="14"/>
    <w:bookmarkEnd w:id="15"/>
    <w:bookmarkStart w:id="16" w:name="adams-decisions-and-actions"/>
    <w:p>
      <w:pPr>
        <w:pStyle w:val="Heading2"/>
      </w:pPr>
      <w:r>
        <w:t xml:space="preserve">Adam’s decisions and actions</w:t>
      </w:r>
    </w:p>
    <w:p>
      <w:pPr>
        <w:pStyle w:val="Compact"/>
        <w:numPr>
          <w:ilvl w:val="0"/>
          <w:numId w:val="1002"/>
        </w:numPr>
      </w:pPr>
      <w:r>
        <w:t xml:space="preserve">Photographed and sent nine pages of the grammar’s second volume, plus its</w:t>
      </w:r>
      <w:r>
        <w:t xml:space="preserve"> </w:t>
      </w:r>
      <w:r>
        <w:t xml:space="preserve">index. Every one of them was used.</w:t>
      </w:r>
    </w:p>
    <w:p>
      <w:pPr>
        <w:pStyle w:val="Compact"/>
        <w:numPr>
          <w:ilvl w:val="0"/>
          <w:numId w:val="1002"/>
        </w:numPr>
      </w:pPr>
      <w:r>
        <w:t xml:space="preserve">Ruled that the reading work should be built now and refined after the</w:t>
      </w:r>
      <w:r>
        <w:t xml:space="preserve"> </w:t>
      </w:r>
      <w:r>
        <w:t xml:space="preserve">eighteen courses are aligned, rather than waiting for the data.</w:t>
      </w:r>
    </w:p>
    <w:p>
      <w:pPr>
        <w:pStyle w:val="Compact"/>
        <w:numPr>
          <w:ilvl w:val="0"/>
          <w:numId w:val="1002"/>
        </w:numPr>
      </w:pPr>
      <w:r>
        <w:t xml:space="preserve">Put three Tibetan cursive scripts on the backlog, with a trainer for reading</w:t>
      </w:r>
      <w:r>
        <w:t xml:space="preserve"> </w:t>
      </w:r>
      <w:r>
        <w:t xml:space="preserve">them.</w:t>
      </w:r>
    </w:p>
    <w:p>
      <w:pPr>
        <w:pStyle w:val="Compact"/>
        <w:numPr>
          <w:ilvl w:val="0"/>
          <w:numId w:val="1002"/>
        </w:numPr>
      </w:pPr>
      <w:r>
        <w:t xml:space="preserve">Asked for the reading page to be cleaned up, which it was.</w:t>
      </w:r>
    </w:p>
    <w:bookmarkEnd w:id="16"/>
    <w:bookmarkStart w:id="17" w:name="numbers"/>
    <w:p>
      <w:pPr>
        <w:pStyle w:val="Heading2"/>
      </w:pPr>
      <w:r>
        <w:t xml:space="preserve">Numbers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Verbs the dictionary records in the noun-looking form</w:t>
            </w:r>
          </w:p>
        </w:tc>
        <w:tc>
          <w:tcPr/>
          <w:p>
            <w:pPr>
              <w:pStyle w:val="Compact"/>
            </w:pPr>
            <w:r>
              <w:t xml:space="preserve">2,105 of 4,874 (43%)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Clauses with no slot for a verb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…where the tool named one anyway, confidently</w:t>
            </w:r>
          </w:p>
        </w:tc>
        <w:tc>
          <w:tcPr/>
          <w:p>
            <w:pPr>
              <w:pStyle w:val="Compact"/>
            </w:pPr>
            <w:r>
              <w:t xml:space="preserve">46%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Passages with no confidently identified verb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Clause pairs that read backwards into English</w:t>
            </w:r>
          </w:p>
        </w:tc>
        <w:tc>
          <w:tcPr/>
          <w:p>
            <w:pPr>
              <w:pStyle w:val="Compact"/>
            </w:pPr>
            <w:r>
              <w:t xml:space="preserve">5% of 972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tests, all green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</w:tr>
    </w:tbl>
    <w:bookmarkEnd w:id="17"/>
    <w:bookmarkStart w:id="18" w:name="open-questions-for-leadership"/>
    <w:p>
      <w:pPr>
        <w:pStyle w:val="Heading2"/>
      </w:pPr>
      <w:r>
        <w:t xml:space="preserve">Open questions for leadership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second volume of the grammar.</w:t>
      </w:r>
      <w:r>
        <w:t xml:space="preserve"> </w:t>
      </w:r>
      <w:r>
        <w:t xml:space="preserve">I own the first. The second is where</w:t>
      </w:r>
      <w:r>
        <w:t xml:space="preserve"> </w:t>
      </w:r>
      <w:r>
        <w:t xml:space="preserve">the worked examples live, and every page of it has paid for itself today. It</w:t>
      </w:r>
      <w:r>
        <w:t xml:space="preserve"> </w:t>
      </w:r>
      <w:r>
        <w:t xml:space="preserve">is a normal book purchase; I mention it only because the work now depends on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Yesterday’s digest</w:t>
      </w:r>
      <w:r>
        <w:t xml:space="preserve"> </w:t>
      </w:r>
      <w:r>
        <w:t xml:space="preserve">shows in my records as drafted but not sent. If it</w:t>
      </w:r>
      <w:r>
        <w:t xml:space="preserve"> </w:t>
      </w:r>
      <w:r>
        <w:t xml:space="preserve">did not reach you, say so and I will send it.</w:t>
      </w:r>
    </w:p>
    <w:bookmarkEnd w:id="18"/>
    <w:bookmarkStart w:id="19" w:name="tomorrow"/>
    <w:p>
      <w:pPr>
        <w:pStyle w:val="Heading2"/>
      </w:pPr>
      <w:r>
        <w:t xml:space="preserve">Tomorrow</w:t>
      </w:r>
    </w:p>
    <w:p>
      <w:pPr>
        <w:pStyle w:val="Compact"/>
        <w:numPr>
          <w:ilvl w:val="0"/>
          <w:numId w:val="1004"/>
        </w:numPr>
      </w:pPr>
      <w:r>
        <w:t xml:space="preserve">Close the remaining gaps in the verb tables — one common verb form is</w:t>
      </w:r>
      <w:r>
        <w:t xml:space="preserve"> </w:t>
      </w:r>
      <w:r>
        <w:t xml:space="preserve">missing outright, which the measurements turned up.</w:t>
      </w:r>
    </w:p>
    <w:p>
      <w:pPr>
        <w:pStyle w:val="Compact"/>
        <w:numPr>
          <w:ilvl w:val="0"/>
          <w:numId w:val="1004"/>
        </w:numPr>
      </w:pPr>
      <w:r>
        <w:t xml:space="preserve">Keep going through the grammar’s chapters as they are scanned.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200" w:line="288" w:lineRule="auto"/>
    </w:pPr>
    <w:name w:val="Normal"/>
    <w:qFormat/>
  </w:style>
  <w:style w:styleId="BodyText" w:type="paragraph">
    <w:name w:val="Body Text"/>
    <w:basedOn w:val="Normal"/>
    <w:link w:val="BodyTextChar"/>
    <w:qFormat/>
    <w:pPr>
      <w:spacing w:after="200" w:line="288" w:lineRule="auto"/>
    </w:pPr>
  </w:style>
  <w:style w:customStyle="1" w:styleId="FirstParagraph" w:type="paragraph">
    <w:pPr>
      <w:spacing w:after="200" w:line="288" w:lineRule="auto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14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20"/>
      <w:jc w:val="center"/>
      <w:contextualSpacing/>
    </w:pPr>
    <w:rPr>
      <w:rFonts w:asciiTheme="majorHAnsi" w:cstheme="majorBidi" w:eastAsiaTheme="majorEastAsia" w:hAnsiTheme="majorHAnsi"/>
      <w:szCs w:val="56"/>
      <w:sz w:val="22"/>
      <w:szCs w:val="2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40" w:before="560"/>
      <w:keepNext/>
      <w:jc w:val="center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240" w:before="520"/>
      <w:keepNext/>
      <w:jc w:val="center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60" w:before="400"/>
      <w:keepNext/>
      <w:jc w:val="center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6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80" w:before="120"/>
      <w:jc w:val="center"/>
    </w:pPr>
    <w:rPr>
      <w:i/>
    </w:rPr>
  </w:style>
  <w:style w:customStyle="1" w:styleId="TableCaption" w:type="paragraph">
    <w:name w:val="Table Caption"/>
    <w:basedOn w:val="Caption"/>
    <w:pPr>
      <w:spacing w:after="140" w:before="240"/>
      <w:keepNext/>
      <w:jc w:val="center"/>
      <w:keepNext/>
    </w:pPr>
  </w:style>
  <w:style w:customStyle="1" w:styleId="ImageCaption" w:type="paragraph">
    <w:pPr>
      <w:spacing w:after="480" w:before="120"/>
      <w:jc w:val="center"/>
    </w:pPr>
    <w:name w:val="Image Caption"/>
    <w:basedOn w:val="Caption"/>
  </w:style>
  <w:style w:customStyle="1" w:styleId="Figure" w:type="paragraph">
    <w:pPr>
      <w:spacing w:after="120" w:before="440"/>
      <w:keepNext/>
      <w:jc w:val="center"/>
    </w:pPr>
    <w:name w:val="Figure"/>
    <w:basedOn w:val="Normal"/>
  </w:style>
  <w:style w:customStyle="1" w:styleId="CaptionedFigure" w:type="paragraph">
    <w:name w:val="Captioned Figure"/>
    <w:basedOn w:val="Figure"/>
    <w:pPr>
      <w:spacing w:after="120" w:before="440"/>
      <w:keepNext/>
      <w:jc w:val="center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2026-09-13T22:47:29Z</dcterms:created>
  <dcterms:modified xsi:type="dcterms:W3CDTF">2026-09-13T22:47:29Z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