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359897e1d66263093349434e50950af8eb24849"/>
    <w:p>
      <w:pPr>
        <w:pStyle w:val="Heading1"/>
      </w:pPr>
      <w:r>
        <w:t xml:space="preserve">ALL Translation Tool — Authority &amp; Admin Guide</w:t>
      </w:r>
    </w:p>
    <w:p>
      <w:pPr>
        <w:pStyle w:val="FirstParagraph"/>
      </w:pPr>
      <w:r>
        <w:rPr>
          <w:i/>
          <w:iCs/>
        </w:rPr>
        <w:t xml:space="preserve">For the authority (Geshe Michael / Adam). The design principle this</w:t>
      </w:r>
      <w:r>
        <w:rPr>
          <w:i/>
          <w:iCs/>
        </w:rPr>
        <w:t xml:space="preserve"> </w:t>
      </w:r>
      <w:r>
        <w:rPr>
          <w:i/>
          <w:iCs/>
        </w:rPr>
        <w:t xml:space="preserve">guide serves: nothing enters the official data without a ruling —</w:t>
      </w:r>
      <w:r>
        <w:rPr>
          <w:i/>
          <w:iCs/>
        </w:rPr>
        <w:t xml:space="preserve"> </w:t>
      </w:r>
      <w:r>
        <w:rPr>
          <w:i/>
          <w:iCs/>
        </w:rPr>
        <w:t xml:space="preserve">the team proposes, the authority decides, and the software records</w:t>
      </w:r>
      <w:r>
        <w:rPr>
          <w:i/>
          <w:iCs/>
        </w:rPr>
        <w:t xml:space="preserve"> </w:t>
      </w:r>
      <w:r>
        <w:rPr>
          <w:i/>
          <w:iCs/>
        </w:rPr>
        <w:t xml:space="preserve">who ruled and when.</w:t>
      </w:r>
    </w:p>
    <w:bookmarkStart w:id="9" w:name="enabling-the-authority-role"/>
    <w:p>
      <w:pPr>
        <w:pStyle w:val="Heading2"/>
      </w:pPr>
      <w:r>
        <w:t xml:space="preserve">Enabling the authority role</w:t>
      </w:r>
    </w:p>
    <w:p>
      <w:pPr>
        <w:pStyle w:val="FirstParagraph"/>
      </w:pPr>
      <w:r>
        <w:t xml:space="preserve">The authority role is a switch in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(View menu →</w:t>
      </w:r>
      <w:r>
        <w:t xml:space="preserve"> </w:t>
      </w:r>
      <w:r>
        <w:t xml:space="preserve">Settings…, ⌘, on a Mac) under Team &amp; proposals — or in the setup</w:t>
      </w:r>
      <w:r>
        <w:t xml:space="preserve"> </w:t>
      </w:r>
      <w:r>
        <w:t xml:space="preserve">fields at the top of</w:t>
      </w:r>
      <w:r>
        <w:t xml:space="preserve"> </w:t>
      </w:r>
      <w:r>
        <w:rPr>
          <w:b/>
          <w:bCs/>
        </w:rPr>
        <w:t xml:space="preserve">Community → Propose</w:t>
      </w:r>
      <w:r>
        <w:t xml:space="preserve">; they are the same</w:t>
      </w:r>
      <w:r>
        <w:t xml:space="preserve"> </w:t>
      </w:r>
      <w:r>
        <w:t xml:space="preserve">settings in both places. Turn it on, make sure your name is entered</w:t>
      </w:r>
      <w:r>
        <w:t xml:space="preserve"> </w:t>
      </w:r>
      <w:r>
        <w:t xml:space="preserve">(every ruling is stamped with it), and confirm the shared proposals</w:t>
      </w:r>
      <w:r>
        <w:t xml:space="preserve"> </w:t>
      </w:r>
      <w:r>
        <w:t xml:space="preserve">folder points at the team folder. The role change takes effect on</w:t>
      </w:r>
      <w:r>
        <w:t xml:space="preserve"> </w:t>
      </w:r>
      <w:r>
        <w:t xml:space="preserve">the next launch; from then on the</w:t>
      </w:r>
      <w:r>
        <w:t xml:space="preserve"> </w:t>
      </w:r>
      <w:r>
        <w:rPr>
          <w:b/>
          <w:bCs/>
        </w:rPr>
        <w:t xml:space="preserve">Approval</w:t>
      </w:r>
      <w:r>
        <w:t xml:space="preserve"> </w:t>
      </w:r>
      <w:r>
        <w:t xml:space="preserve">pane appears under</w:t>
      </w:r>
      <w:r>
        <w:t xml:space="preserve"> </w:t>
      </w:r>
      <w:r>
        <w:t xml:space="preserve">the Community tab, with a live count of pending items on its tab.</w:t>
      </w:r>
    </w:p>
    <w:bookmarkEnd w:id="9"/>
    <w:bookmarkStart w:id="10" w:name="the-approval-queue-community-approval"/>
    <w:p>
      <w:pPr>
        <w:pStyle w:val="Heading2"/>
      </w:pPr>
      <w:r>
        <w:t xml:space="preserve">The Approval queue (Community → Approval)</w:t>
      </w:r>
    </w:p>
    <w:p>
      <w:pPr>
        <w:pStyle w:val="FirstParagraph"/>
      </w:pPr>
      <w:r>
        <w:t xml:space="preserve">Every pending proposal appears with its evidence, source citation,</w:t>
      </w:r>
      <w:r>
        <w:t xml:space="preserve"> </w:t>
      </w:r>
      <w:r>
        <w:t xml:space="preserve">and proposer’s name. For each item: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Approve / Decline / Defer</w:t>
      </w:r>
      <w:r>
        <w:t xml:space="preserve"> </w:t>
      </w:r>
      <w:r>
        <w:t xml:space="preserve">— one click each, plus an optional</w:t>
      </w:r>
      <w:r>
        <w:t xml:space="preserve"> </w:t>
      </w:r>
      <w:r>
        <w:t xml:space="preserve">note. Your note travels back to the proposer (</w:t>
      </w:r>
      <w:r>
        <w:t xml:space="preserve">“My proposals —</w:t>
      </w:r>
      <w:r>
        <w:t xml:space="preserve"> </w:t>
      </w:r>
      <w:r>
        <w:t xml:space="preserve">what happened?”</w:t>
      </w:r>
      <w:r>
        <w:t xml:space="preserve"> </w:t>
      </w:r>
      <w:r>
        <w:t xml:space="preserve">in the Propose pane shows them your comment).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Filter by kind</w:t>
      </w:r>
      <w:r>
        <w:t xml:space="preserve"> </w:t>
      </w:r>
      <w:r>
        <w:t xml:space="preserve">to take one category at a time.</w:t>
      </w:r>
    </w:p>
    <w:p>
      <w:pPr>
        <w:pStyle w:val="Compact"/>
        <w:numPr>
          <w:ilvl w:val="0"/>
          <w:numId w:val="1001"/>
        </w:numPr>
      </w:pPr>
      <w:r>
        <w:t xml:space="preserve">The list</w:t>
      </w:r>
      <w:r>
        <w:t xml:space="preserve"> </w:t>
      </w:r>
      <w:r>
        <w:rPr>
          <w:b/>
          <w:bCs/>
        </w:rPr>
        <w:t xml:space="preserve">keeps your scroll position</w:t>
      </w:r>
      <w:r>
        <w:t xml:space="preserve"> </w:t>
      </w:r>
      <w:r>
        <w:t xml:space="preserve">between rulings, so</w:t>
      </w:r>
      <w:r>
        <w:t xml:space="preserve"> </w:t>
      </w:r>
      <w:r>
        <w:t xml:space="preserve">working down a long queue is comfortable.</w:t>
      </w:r>
    </w:p>
    <w:bookmarkEnd w:id="10"/>
    <w:bookmarkStart w:id="11" w:name="what-each-ruling-actually-does"/>
    <w:p>
      <w:pPr>
        <w:pStyle w:val="Heading2"/>
      </w:pPr>
      <w:r>
        <w:t xml:space="preserve">What each ruling actually does</w:t>
      </w:r>
    </w:p>
    <w:p>
      <w:pPr>
        <w:pStyle w:val="FirstParagraph"/>
      </w:pPr>
      <w:r>
        <w:t xml:space="preserve">The data boundary is enforced in the software itself — different</w:t>
      </w:r>
      <w:r>
        <w:t xml:space="preserve"> </w:t>
      </w:r>
      <w:r>
        <w:t xml:space="preserve">kinds of proposal have different consequences, and none of them</w:t>
      </w:r>
      <w:r>
        <w:t xml:space="preserve"> </w:t>
      </w:r>
      <w:r>
        <w:t xml:space="preserve">ever edits the corpus or the texts.</w:t>
      </w:r>
    </w:p>
    <w:p>
      <w:pPr>
        <w:pStyle w:val="BodyText"/>
      </w:pPr>
      <w:r>
        <w:rPr>
          <w:b/>
          <w:bCs/>
        </w:rPr>
        <w:t xml:space="preserve">Register kinds — honorific (all four levels), pronunciation</w:t>
      </w:r>
      <w:r>
        <w:rPr>
          <w:b/>
          <w:bCs/>
        </w:rPr>
        <w:t xml:space="preserve"> </w:t>
      </w:r>
      <w:r>
        <w:rPr>
          <w:b/>
          <w:bCs/>
        </w:rPr>
        <w:t xml:space="preserve">exception, abbreviation.</w:t>
      </w:r>
      <w:r>
        <w:t xml:space="preserve"> </w:t>
      </w:r>
      <w:r>
        <w:t xml:space="preserve">Approving applies the item</w:t>
      </w:r>
      <w:r>
        <w:t xml:space="preserve"> </w:t>
      </w:r>
      <w:r>
        <w:rPr>
          <w:b/>
          <w:bCs/>
        </w:rPr>
        <w:t xml:space="preserve">in the app</w:t>
      </w:r>
      <w:r>
        <w:rPr>
          <w:b/>
          <w:bCs/>
        </w:rPr>
        <w:t xml:space="preserve"> </w:t>
      </w:r>
      <w:r>
        <w:rPr>
          <w:b/>
          <w:bCs/>
        </w:rPr>
        <w:t xml:space="preserve">immediately</w:t>
      </w:r>
      <w:r>
        <w:t xml:space="preserve">, stamped with your name and the date, for everyone</w:t>
      </w:r>
      <w:r>
        <w:t xml:space="preserve"> </w:t>
      </w:r>
      <w:r>
        <w:t xml:space="preserve">using the shared folder. Declining a machine-derived pronunciation</w:t>
      </w:r>
      <w:r>
        <w:t xml:space="preserve"> </w:t>
      </w:r>
      <w:r>
        <w:t xml:space="preserve">removes it. These live in the tool’s own registers, so no export</w:t>
      </w:r>
      <w:r>
        <w:t xml:space="preserve"> </w:t>
      </w:r>
      <w:r>
        <w:t xml:space="preserve">step is needed.</w:t>
      </w:r>
    </w:p>
    <w:p>
      <w:pPr>
        <w:pStyle w:val="BodyText"/>
      </w:pPr>
      <w:r>
        <w:rPr>
          <w:b/>
          <w:bCs/>
        </w:rPr>
        <w:t xml:space="preserve">Dictionary kinds — word/phrase rendering, idiom / fixed</w:t>
      </w:r>
      <w:r>
        <w:rPr>
          <w:b/>
          <w:bCs/>
        </w:rPr>
        <w:t xml:space="preserve"> </w:t>
      </w:r>
      <w:r>
        <w:rPr>
          <w:b/>
          <w:bCs/>
        </w:rPr>
        <w:t xml:space="preserve">expression, note.</w:t>
      </w:r>
      <w:r>
        <w:t xml:space="preserve"> </w:t>
      </w:r>
      <w:r>
        <w:t xml:space="preserve">Approval marks them approved but the app never</w:t>
      </w:r>
      <w:r>
        <w:t xml:space="preserve"> </w:t>
      </w:r>
      <w:r>
        <w:t xml:space="preserve">writes them into the dictionary or corpus. Use</w:t>
      </w:r>
      <w:r>
        <w:t xml:space="preserve"> </w:t>
      </w:r>
      <w:r>
        <w:rPr>
          <w:b/>
          <w:bCs/>
        </w:rPr>
        <w:t xml:space="preserve">“Export approved</w:t>
      </w:r>
      <w:r>
        <w:rPr>
          <w:b/>
          <w:bCs/>
        </w:rPr>
        <w:t xml:space="preserve"> </w:t>
      </w:r>
      <w:r>
        <w:rPr>
          <w:b/>
          <w:bCs/>
        </w:rPr>
        <w:t xml:space="preserve">dictionary candidates…”</w:t>
      </w:r>
      <w:r>
        <w:t xml:space="preserve"> </w:t>
      </w:r>
      <w:r>
        <w:t xml:space="preserve">to produce the package for the data</w:t>
      </w:r>
      <w:r>
        <w:t xml:space="preserve"> </w:t>
      </w:r>
      <w:r>
        <w:t xml:space="preserve">project, which admits them into the next versioned release. Until</w:t>
      </w:r>
      <w:r>
        <w:t xml:space="preserve"> </w:t>
      </w:r>
      <w:r>
        <w:t xml:space="preserve">then they remain labeled candidates.</w:t>
      </w:r>
    </w:p>
    <w:p>
      <w:pPr>
        <w:pStyle w:val="BodyText"/>
      </w:pPr>
      <w:r>
        <w:rPr>
          <w:b/>
          <w:bCs/>
        </w:rPr>
        <w:t xml:space="preserve">SPELLING flags</w:t>
      </w:r>
      <w:r>
        <w:t xml:space="preserve"> </w:t>
      </w:r>
      <w:r>
        <w:t xml:space="preserve">(filed from the Overlay’s</w:t>
      </w:r>
      <w:r>
        <w:t xml:space="preserve"> </w:t>
      </w:r>
      <w:r>
        <w:t xml:space="preserve">“Show spelling doubts”</w:t>
      </w:r>
      <w:r>
        <w:t xml:space="preserve"> </w:t>
      </w:r>
      <w:r>
        <w:t xml:space="preserve">list) have their own filter and their own meaning: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Approve</w:t>
      </w:r>
      <w:r>
        <w:t xml:space="preserve"> </w:t>
      </w:r>
      <w:r>
        <w:t xml:space="preserve">= you confirm it is an input error. It goes into the</w:t>
      </w:r>
      <w:r>
        <w:t xml:space="preserve"> </w:t>
      </w:r>
      <w:r>
        <w:t xml:space="preserve">export for the input teams — the app itself never edits the</w:t>
      </w:r>
      <w:r>
        <w:t xml:space="preserve"> </w:t>
      </w:r>
      <w:r>
        <w:t xml:space="preserve">texts.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Decline</w:t>
      </w:r>
      <w:r>
        <w:t xml:space="preserve"> </w:t>
      </w:r>
      <w:r>
        <w:t xml:space="preserve">= you rule the form</w:t>
      </w:r>
      <w:r>
        <w:t xml:space="preserve"> </w:t>
      </w:r>
      <w:r>
        <w:rPr>
          <w:b/>
          <w:bCs/>
        </w:rPr>
        <w:t xml:space="preserve">valid</w:t>
      </w:r>
      <w:r>
        <w:t xml:space="preserve">. From the next launch</w:t>
      </w:r>
      <w:r>
        <w:t xml:space="preserve"> </w:t>
      </w:r>
      <w:r>
        <w:t xml:space="preserve">on, the software stops doubting that form everywhere — no more</w:t>
      </w:r>
      <w:r>
        <w:t xml:space="preserve"> </w:t>
      </w:r>
      <w:r>
        <w:t xml:space="preserve">red wave on it, for the whole team. A decline here is not a</w:t>
      </w:r>
      <w:r>
        <w:t xml:space="preserve"> </w:t>
      </w:r>
      <w:r>
        <w:t xml:space="preserve">rejection; it is a positive ruling that teaches the software.</w:t>
      </w:r>
    </w:p>
    <w:bookmarkEnd w:id="11"/>
    <w:bookmarkStart w:id="12" w:name="the-rulings-archive"/>
    <w:p>
      <w:pPr>
        <w:pStyle w:val="Heading2"/>
      </w:pPr>
      <w:r>
        <w:t xml:space="preserve">The Rulings archive</w:t>
      </w:r>
    </w:p>
    <w:p>
      <w:pPr>
        <w:pStyle w:val="FirstParagraph"/>
      </w:pPr>
      <w:r>
        <w:t xml:space="preserve">Every decision — approve, decline, defer, with its note, date, and</w:t>
      </w:r>
      <w:r>
        <w:t xml:space="preserve"> </w:t>
      </w:r>
      <w:r>
        <w:t xml:space="preserve">your name — is kept permanently in the</w:t>
      </w:r>
      <w:r>
        <w:t xml:space="preserve"> </w:t>
      </w:r>
      <w:r>
        <w:rPr>
          <w:b/>
          <w:bCs/>
        </w:rPr>
        <w:t xml:space="preserve">Rulings archive</w:t>
      </w:r>
      <w:r>
        <w:t xml:space="preserve">. It is</w:t>
      </w:r>
      <w:r>
        <w:t xml:space="preserve"> </w:t>
      </w:r>
      <w:r>
        <w:t xml:space="preserve">the audit trail and, over the years, a record of the authority’s</w:t>
      </w:r>
      <w:r>
        <w:t xml:space="preserve"> </w:t>
      </w:r>
      <w:r>
        <w:t xml:space="preserve">own judgments. Nothing is ever silently discarded.</w:t>
      </w:r>
    </w:p>
    <w:bookmarkEnd w:id="12"/>
    <w:bookmarkStart w:id="13" w:name="recommended-cadence"/>
    <w:p>
      <w:pPr>
        <w:pStyle w:val="Heading2"/>
      </w:pPr>
      <w:r>
        <w:t xml:space="preserve">Recommended cadence</w:t>
      </w:r>
    </w:p>
    <w:p>
      <w:pPr>
        <w:pStyle w:val="FirstParagraph"/>
      </w:pPr>
      <w:r>
        <w:t xml:space="preserve">Take</w:t>
      </w:r>
      <w:r>
        <w:t xml:space="preserve"> </w:t>
      </w:r>
      <w:r>
        <w:rPr>
          <w:b/>
          <w:bCs/>
        </w:rPr>
        <w:t xml:space="preserve">one kind per sitting</w:t>
      </w:r>
      <w:r>
        <w:t xml:space="preserve">: filter to a single category and rule</w:t>
      </w:r>
      <w:r>
        <w:t xml:space="preserve"> </w:t>
      </w:r>
      <w:r>
        <w:t xml:space="preserve">it whole — pronunciations one week, honorifics the next, spelling</w:t>
      </w:r>
      <w:r>
        <w:t xml:space="preserve"> </w:t>
      </w:r>
      <w:r>
        <w:t xml:space="preserve">flags after an input batch comes in. Each sitting stays short, the</w:t>
      </w:r>
      <w:r>
        <w:t xml:space="preserve"> </w:t>
      </w:r>
      <w:r>
        <w:t xml:space="preserve">judgments stay consistent within a category, and the queue never</w:t>
      </w:r>
      <w:r>
        <w:t xml:space="preserve"> </w:t>
      </w:r>
      <w:r>
        <w:t xml:space="preserve">becomes a wall.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2026-08-11T16:44:03Z</dcterms:created>
  <dcterms:modified xsi:type="dcterms:W3CDTF">2026-08-11T16:44:03Z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