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ll-translation-tool-release-notes"/>
    <w:p>
      <w:pPr>
        <w:pStyle w:val="Heading1"/>
      </w:pPr>
      <w:r>
        <w:t xml:space="preserve">ALL Translation Tool — Release Notes</w:t>
      </w:r>
    </w:p>
    <w:bookmarkStart w:id="9" w:name="build-of-2026-08-11-data-release-v0.27.2"/>
    <w:p>
      <w:pPr>
        <w:pStyle w:val="Heading2"/>
      </w:pPr>
      <w:r>
        <w:t xml:space="preserve">Build of 2026-08-11 · data release v0.27.2</w:t>
      </w:r>
    </w:p>
    <w:p>
      <w:pPr>
        <w:pStyle w:val="FirstParagraph"/>
      </w:pPr>
      <w:r>
        <w:t xml:space="preserve">This build collects the August 2026 work. Everything below is in the</w:t>
      </w:r>
      <w:r>
        <w:t xml:space="preserve"> </w:t>
      </w:r>
      <w:r>
        <w:t xml:space="preserve">DMG (</w:t>
      </w:r>
      <w:r>
        <w:rPr>
          <w:rStyle w:val="VerbatimChar"/>
        </w:rPr>
        <w:t xml:space="preserve">dist/ALL-Translation-Tool-0.27.2.dmg</w:t>
      </w:r>
      <w:r>
        <w:t xml:space="preserve">) and verified by the</w:t>
      </w:r>
      <w:r>
        <w:t xml:space="preserve"> </w:t>
      </w:r>
      <w:r>
        <w:t xml:space="preserve">automated batteries: 38 ctest suites plus the app’s own 80-check</w:t>
      </w:r>
      <w:r>
        <w:t xml:space="preserve"> </w:t>
      </w:r>
      <w:r>
        <w:rPr>
          <w:rStyle w:val="VerbatimChar"/>
        </w:rPr>
        <w:t xml:space="preserve">--selftest</w:t>
      </w:r>
      <w:r>
        <w:t xml:space="preserve">.</w:t>
      </w:r>
    </w:p>
    <w:bookmarkEnd w:id="9"/>
    <w:bookmarkStart w:id="10" w:name="reading-the-way-geshe-michael-asked"/>
    <w:p>
      <w:pPr>
        <w:pStyle w:val="Heading2"/>
      </w:pPr>
      <w:r>
        <w:t xml:space="preserve">Reading the way Geshe Michael asked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Click-to-longest-phrase reading mode</w:t>
      </w:r>
      <w:r>
        <w:t xml:space="preserve"> </w:t>
      </w:r>
      <w:r>
        <w:t xml:space="preserve">(Geshe Michael’s directive,</w:t>
      </w:r>
      <w:r>
        <w:t xml:space="preserve"> </w:t>
      </w:r>
      <w:r>
        <w:t xml:space="preserve">relayed from Adam’s class of 2026-08-10). The Overlay now opens</w:t>
      </w:r>
      <w:r>
        <w:t xml:space="preserve"> </w:t>
      </w:r>
      <w:r>
        <w:t xml:space="preserve">clean, with no shading. Click any word and the LONGEST phrase the</w:t>
      </w:r>
      <w:r>
        <w:t xml:space="preserve"> </w:t>
      </w:r>
      <w:r>
        <w:t xml:space="preserve">dictionary knows at that point highlights (gold band; amber-leaning</w:t>
      </w:r>
      <w:r>
        <w:t xml:space="preserve"> </w:t>
      </w:r>
      <w:r>
        <w:t xml:space="preserve">when the entry is provisional); click again to step down phrase by</w:t>
      </w:r>
      <w:r>
        <w:t xml:space="preserve"> </w:t>
      </w:r>
      <w:r>
        <w:t xml:space="preserve">phrase — dropping a particle at a time — to the single word. The</w:t>
      </w:r>
      <w:r>
        <w:t xml:space="preserve"> </w:t>
      </w:r>
      <w:r>
        <w:t xml:space="preserve">back-off rides the proven match lattice, not new guessing. The old</w:t>
      </w:r>
      <w:r>
        <w:t xml:space="preserve"> </w:t>
      </w:r>
      <w:r>
        <w:t xml:space="preserve">everything-shaded coverage view remains one click away as the</w:t>
      </w:r>
      <w:r>
        <w:t xml:space="preserve"> </w:t>
      </w:r>
      <w:r>
        <w:t xml:space="preserve">“all matches (wash)”</w:t>
      </w:r>
      <w:r>
        <w:t xml:space="preserve"> </w:t>
      </w:r>
      <w:r>
        <w:t xml:space="preserve">toggle in the Display panel.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Congruent line breaks.</w:t>
      </w:r>
      <w:r>
        <w:t xml:space="preserve"> </w:t>
      </w:r>
      <w:r>
        <w:t xml:space="preserve">The Overlay display now mirrors the</w:t>
      </w:r>
      <w:r>
        <w:t xml:space="preserve"> </w:t>
      </w:r>
      <w:r>
        <w:t xml:space="preserve">source file’s own line structure instead of reflowing it, so the</w:t>
      </w:r>
      <w:r>
        <w:t xml:space="preserve"> </w:t>
      </w:r>
      <w:r>
        <w:t xml:space="preserve">screen matches the text as keyed.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Night mode fixed for reading surfaces.</w:t>
      </w:r>
      <w:r>
        <w:t xml:space="preserve"> </w:t>
      </w:r>
      <w:r>
        <w:t xml:space="preserve">Pages that show Tibetan</w:t>
      </w:r>
      <w:r>
        <w:t xml:space="preserve"> </w:t>
      </w:r>
      <w:r>
        <w:t xml:space="preserve">text stay manuscript-cream regardless of the system appearance;</w:t>
      </w:r>
      <w:r>
        <w:t xml:space="preserve"> </w:t>
      </w:r>
      <w:r>
        <w:t xml:space="preserve">the rest of the app follows night mode as before.</w:t>
      </w:r>
    </w:p>
    <w:bookmarkEnd w:id="10"/>
    <w:bookmarkStart w:id="11" w:name="getting-around"/>
    <w:p>
      <w:pPr>
        <w:pStyle w:val="Heading2"/>
      </w:pPr>
      <w:r>
        <w:t xml:space="preserve">Getting around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Six-workflow navigation.</w:t>
      </w:r>
      <w:r>
        <w:t xml:space="preserve"> </w:t>
      </w:r>
      <w:r>
        <w:t xml:space="preserve">The panes are grouped into six workflow</w:t>
      </w:r>
      <w:r>
        <w:t xml:space="preserve"> </w:t>
      </w:r>
      <w:r>
        <w:t xml:space="preserve">sections with sectioned buttons, replacing the long flat tab row.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Mirrored menu bar.</w:t>
      </w:r>
      <w:r>
        <w:t xml:space="preserve"> </w:t>
      </w:r>
      <w:r>
        <w:t xml:space="preserve">Every pane’s functionality is reachable from</w:t>
      </w:r>
      <w:r>
        <w:t xml:space="preserve"> </w:t>
      </w:r>
      <w:r>
        <w:t xml:space="preserve">the menu bar dropdowns, matching the GUI grouping, plus a</w:t>
      </w:r>
      <w:r>
        <w:t xml:space="preserve"> </w:t>
      </w:r>
      <w:r>
        <w:t xml:space="preserve">“Where do I start?”</w:t>
      </w:r>
      <w:r>
        <w:t xml:space="preserve"> </w:t>
      </w:r>
      <w:r>
        <w:t xml:space="preserve">opener.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Settings dialog</w:t>
      </w:r>
      <w:r>
        <w:t xml:space="preserve"> </w:t>
      </w:r>
      <w:r>
        <w:t xml:space="preserve">— the app’s options collected in one place.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Searchable Help + Suggested Workflows browser.</w:t>
      </w:r>
      <w:r>
        <w:t xml:space="preserve"> </w:t>
      </w:r>
      <w:r>
        <w:t xml:space="preserve">Help now has a</w:t>
      </w:r>
      <w:r>
        <w:t xml:space="preserve"> </w:t>
      </w:r>
      <w:r>
        <w:t xml:space="preserve">search field and a tutorial for every pane; the Suggested Workflows</w:t>
      </w:r>
      <w:r>
        <w:t xml:space="preserve"> </w:t>
      </w:r>
      <w:r>
        <w:t xml:space="preserve">chapter opens as its own window listing every workflow.</w:t>
      </w:r>
    </w:p>
    <w:bookmarkEnd w:id="11"/>
    <w:bookmarkStart w:id="12" w:name="new-work-surfaces"/>
    <w:p>
      <w:pPr>
        <w:pStyle w:val="Heading2"/>
      </w:pPr>
      <w:r>
        <w:t xml:space="preserve">New work surfaces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Manuscript pane</w:t>
      </w:r>
      <w:r>
        <w:t xml:space="preserve"> </w:t>
      </w:r>
      <w:r>
        <w:t xml:space="preserve">(task #56): a rich-text writing surface with a</w:t>
      </w:r>
      <w:r>
        <w:t xml:space="preserve"> </w:t>
      </w:r>
      <w:r>
        <w:t xml:space="preserve">Gofer search sidebar, so drafting and corpus search sit side by</w:t>
      </w:r>
      <w:r>
        <w:t xml:space="preserve"> </w:t>
      </w:r>
      <w:r>
        <w:t xml:space="preserve">side.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Spelling-doubts list</w:t>
      </w:r>
      <w:r>
        <w:t xml:space="preserve"> </w:t>
      </w:r>
      <w:r>
        <w:t xml:space="preserve">(Adam’s request): a spell-checker</w:t>
      </w:r>
      <w:r>
        <w:t xml:space="preserve"> </w:t>
      </w:r>
      <w:r>
        <w:t xml:space="preserve">independent of the red underline. The Overlay’s REVIEW section</w:t>
      </w:r>
      <w:r>
        <w:t xml:space="preserve"> </w:t>
      </w:r>
      <w:r>
        <w:t xml:space="preserve">collects potential input errors as a working list that files into</w:t>
      </w:r>
      <w:r>
        <w:t xml:space="preserve"> </w:t>
      </w:r>
      <w:r>
        <w:t xml:space="preserve">the Approval queue as</w:t>
      </w:r>
      <w:r>
        <w:t xml:space="preserve"> </w:t>
      </w:r>
      <w:r>
        <w:rPr>
          <w:rStyle w:val="VerbatimChar"/>
        </w:rPr>
        <w:t xml:space="preserve">spelling</w:t>
      </w:r>
      <w:r>
        <w:t xml:space="preserve"> </w:t>
      </w:r>
      <w:r>
        <w:t xml:space="preserve">proposals — the app never edits</w:t>
      </w:r>
      <w:r>
        <w:t xml:space="preserve"> </w:t>
      </w:r>
      <w:r>
        <w:t xml:space="preserve">texts; the authority (GMR) rules. Doubts skip @-folio markers</w:t>
      </w:r>
      <w:r>
        <w:t xml:space="preserve"> </w:t>
      </w:r>
      <w:r>
        <w:t xml:space="preserve">(structure, not spelling) and any form the dictionary itself</w:t>
      </w:r>
      <w:r>
        <w:t xml:space="preserve"> </w:t>
      </w:r>
      <w:r>
        <w:t xml:space="preserve">attests, and forms the authority has ruled valid (declined flags)</w:t>
      </w:r>
      <w:r>
        <w:t xml:space="preserve"> </w:t>
      </w:r>
      <w:r>
        <w:t xml:space="preserve">are excluded from future lists — an allowlist built from rulings.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Idioms register</w:t>
      </w:r>
      <w:r>
        <w:t xml:space="preserve"> </w:t>
      </w:r>
      <w:r>
        <w:t xml:space="preserve">(task #60): a banked idiom list, an</w:t>
      </w:r>
      <w:r>
        <w:t xml:space="preserve"> </w:t>
      </w:r>
      <w:r>
        <w:rPr>
          <w:rStyle w:val="VerbatimChar"/>
        </w:rPr>
        <w:t xml:space="preserve">idiom</w:t>
      </w:r>
      <w:r>
        <w:t xml:space="preserve"> </w:t>
      </w:r>
      <w:r>
        <w:t xml:space="preserve">proposal kind for the channel, and idiom badges on entry cards.</w:t>
      </w:r>
    </w:p>
    <w:bookmarkEnd w:id="12"/>
    <w:bookmarkStart w:id="13" w:name="packaging-and-the-paper-trail"/>
    <w:p>
      <w:pPr>
        <w:pStyle w:val="Heading2"/>
      </w:pPr>
      <w:r>
        <w:t xml:space="preserve">Packaging and the paper trail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OCR models bundled in the DMG</w:t>
      </w:r>
      <w:r>
        <w:t xml:space="preserve"> </w:t>
      </w:r>
      <w:r>
        <w:t xml:space="preserve">(BDRC, CC BY-NC 4.0, used with</w:t>
      </w:r>
      <w:r>
        <w:t xml:space="preserve"> </w:t>
      </w:r>
      <w:r>
        <w:t xml:space="preserve">BDRC’s permission, credited wherever output appears). Earlier</w:t>
      </w:r>
      <w:r>
        <w:t xml:space="preserve"> </w:t>
      </w:r>
      <w:r>
        <w:t xml:space="preserve">packages omitted them and showed the download-it-yourself fallback;</w:t>
      </w:r>
      <w:r>
        <w:t xml:space="preserve"> </w:t>
      </w:r>
      <w:r>
        <w:t xml:space="preserve">the packaging script now stages</w:t>
      </w:r>
      <w:r>
        <w:t xml:space="preserve"> </w:t>
      </w:r>
      <w:r>
        <w:rPr>
          <w:rStyle w:val="VerbatimChar"/>
        </w:rPr>
        <w:t xml:space="preserve">library/ocr_models</w:t>
      </w:r>
      <w:r>
        <w:t xml:space="preserve"> </w:t>
      </w:r>
      <w:r>
        <w:t xml:space="preserve">every 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Open-source &amp; data notices ship with every release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OPEN_SOURCE_NOTICES.md</w:t>
      </w:r>
      <w:r>
        <w:t xml:space="preserve"> </w:t>
      </w:r>
      <w:r>
        <w:t xml:space="preserve">is staged into the DMG alongside the app.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Launch-test hardening.</w:t>
      </w:r>
      <w:r>
        <w:t xml:space="preserve"> </w:t>
      </w:r>
      <w:r>
        <w:t xml:space="preserve">The packaging gate launch-tests the</w:t>
      </w:r>
      <w:r>
        <w:t xml:space="preserve"> </w:t>
      </w:r>
      <w:r>
        <w:t xml:space="preserve">staged layout up to three times and records exit codes; a</w:t>
      </w:r>
      <w:r>
        <w:t xml:space="preserve"> </w:t>
      </w:r>
      <w:r>
        <w:t xml:space="preserve">lifecycle log (</w:t>
      </w:r>
      <w:r>
        <w:rPr>
          <w:rStyle w:val="VerbatimChar"/>
        </w:rPr>
        <w:t xml:space="preserve">~/Library/Logs/ALLTranslationTool-lifecycle.log</w:t>
      </w:r>
      <w:r>
        <w:t xml:space="preserve">)</w:t>
      </w:r>
      <w:r>
        <w:t xml:space="preserve"> </w:t>
      </w:r>
      <w:r>
        <w:t xml:space="preserve">now makes any silent startup death explain itself.</w:t>
      </w:r>
    </w:p>
    <w:bookmarkEnd w:id="13"/>
    <w:bookmarkStart w:id="14" w:name="verification-in-this-build"/>
    <w:p>
      <w:pPr>
        <w:pStyle w:val="Heading2"/>
      </w:pPr>
      <w:r>
        <w:t xml:space="preserve">Verification in this build</w:t>
      </w:r>
    </w:p>
    <w:p>
      <w:pPr>
        <w:pStyle w:val="Compact"/>
        <w:numPr>
          <w:ilvl w:val="0"/>
          <w:numId w:val="1005"/>
        </w:numPr>
      </w:pPr>
      <w:r>
        <w:t xml:space="preserve">38 ctest suites green (engine ports at full-dictionary parity</w:t>
      </w:r>
      <w:r>
        <w:t xml:space="preserve"> </w:t>
      </w:r>
      <w:r>
        <w:t xml:space="preserve">against their Python oracles, data layers, stores, mutations).</w:t>
      </w:r>
    </w:p>
    <w:p>
      <w:pPr>
        <w:pStyle w:val="Compact"/>
        <w:numPr>
          <w:ilvl w:val="0"/>
          <w:numId w:val="1005"/>
        </w:numPr>
      </w:pPr>
      <w:r>
        <w:t xml:space="preserve">80 app selftest checks green (</w:t>
      </w:r>
      <w:r>
        <w:rPr>
          <w:rStyle w:val="VerbatimChar"/>
        </w:rPr>
        <w:t xml:space="preserve">./ALLTranslationTool --selftest</w:t>
      </w:r>
      <w:r>
        <w:t xml:space="preserve">):</w:t>
      </w:r>
      <w:r>
        <w:t xml:space="preserve"> </w:t>
      </w:r>
      <w:r>
        <w:t xml:space="preserve">the real panes constructed against the real spine, exercised</w:t>
      </w:r>
      <w:r>
        <w:t xml:space="preserve"> </w:t>
      </w:r>
      <w:r>
        <w:t xml:space="preserve">offscreen, assertions on their actual state.</w:t>
      </w:r>
    </w:p>
    <w:bookmarkEnd w:id="14"/>
    <w:bookmarkStart w:id="15" w:name="known-limits"/>
    <w:p>
      <w:pPr>
        <w:pStyle w:val="Heading2"/>
      </w:pPr>
      <w:r>
        <w:t xml:space="preserve">Known limits</w:t>
      </w:r>
    </w:p>
    <w:p>
      <w:pPr>
        <w:pStyle w:val="Compact"/>
        <w:numPr>
          <w:ilvl w:val="0"/>
          <w:numId w:val="1006"/>
        </w:numPr>
      </w:pPr>
      <w:r>
        <w:t xml:space="preserve">The AI Analysis sections and BDRC scan viewing need a network;</w:t>
      </w:r>
      <w:r>
        <w:t xml:space="preserve"> </w:t>
      </w:r>
      <w:r>
        <w:t xml:space="preserve">everything else runs offline.</w:t>
      </w:r>
    </w:p>
    <w:p>
      <w:pPr>
        <w:pStyle w:val="Compact"/>
        <w:numPr>
          <w:ilvl w:val="0"/>
          <w:numId w:val="1006"/>
        </w:numPr>
      </w:pPr>
      <w:r>
        <w:t xml:space="preserve">Ad-hoc signature only: first launch is right-click → Open (no</w:t>
      </w:r>
      <w:r>
        <w:t xml:space="preserve"> </w:t>
      </w:r>
      <w:r>
        <w:t xml:space="preserve">Apple Developer ID yet).</w:t>
      </w:r>
    </w:p>
    <w:p>
      <w:pPr>
        <w:pStyle w:val="Compact"/>
        <w:numPr>
          <w:ilvl w:val="0"/>
          <w:numId w:val="1006"/>
        </w:numPr>
      </w:pPr>
      <w:r>
        <w:t xml:space="preserve">Day-level Tibetan calendar is Modern Karana, epoch 2009 onward.</w:t>
      </w:r>
    </w:p>
    <w:p>
      <w:pPr>
        <w:pStyle w:val="Compact"/>
        <w:numPr>
          <w:ilvl w:val="0"/>
          <w:numId w:val="1006"/>
        </w:numPr>
      </w:pPr>
      <w:r>
        <w:t xml:space="preserve">Live composing editor and Old-Tibetan affix rules are not built.</w:t>
      </w:r>
    </w:p>
    <w:p>
      <w:pPr>
        <w:pStyle w:val="Compact"/>
        <w:numPr>
          <w:ilvl w:val="0"/>
          <w:numId w:val="1006"/>
        </w:numPr>
      </w:pPr>
      <w:r>
        <w:t xml:space="preserve">Externally gated (waiting on other people, not code): 84000</w:t>
      </w:r>
      <w:r>
        <w:t xml:space="preserve"> </w:t>
      </w:r>
      <w:r>
        <w:t xml:space="preserve">glossary/TM licensing, input-center formatter samples, Mixed Nuts</w:t>
      </w:r>
      <w:r>
        <w:t xml:space="preserve"> </w:t>
      </w:r>
      <w:r>
        <w:t xml:space="preserve">style guide, the catalog-English tier ruling, Steinert license</w:t>
      </w:r>
      <w:r>
        <w:t xml:space="preserve"> </w:t>
      </w:r>
      <w:r>
        <w:t xml:space="preserve">review, Lotsawa House bulk permission, BDRC’s written OCR</w:t>
      </w:r>
      <w:r>
        <w:t xml:space="preserve"> </w:t>
      </w:r>
      <w:r>
        <w:t xml:space="preserve">confirmation. Full register:</w:t>
      </w:r>
      <w:r>
        <w:t xml:space="preserve"> </w:t>
      </w:r>
      <w:r>
        <w:rPr>
          <w:rStyle w:val="VerbatimChar"/>
        </w:rPr>
        <w:t xml:space="preserve">docs/FEATURE_STATUS.md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2026-08-11T16:44:03Z</dcterms:created>
  <dcterms:modified xsi:type="dcterms:W3CDTF">2026-08-11T16:44:03Z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