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a286b8346a046c1182bd88675d41088f245f16"/>
    <w:p>
      <w:pPr>
        <w:pStyle w:val="Heading1"/>
      </w:pPr>
      <w:r>
        <w:t xml:space="preserve">Diamond Cutter Translation Tool Daily Digest #5 — Saturday, September 12 2026</w:t>
      </w:r>
    </w:p>
    <w:p>
      <w:pPr>
        <w:pStyle w:val="FirstParagraph"/>
      </w:pPr>
      <w:r>
        <w:rPr>
          <w:b/>
          <w:bCs/>
        </w:rPr>
        <w:t xml:space="preserve">Headline.</w:t>
      </w:r>
      <w:r>
        <w:t xml:space="preserve"> </w:t>
      </w:r>
      <w:r>
        <w:t xml:space="preserve">I spent the day auditing a single screen — the Draft workspace, where a translator actually works — and found sixty defects in it. Almost none were crashes. They were the tool saying more than it knew: a check reporting a clean result over nothing at all, a control that had worked but looked broken, an answer about a text nobody had pasted.</w:t>
      </w:r>
    </w:p>
    <w:p>
      <w:pPr>
        <w:pStyle w:val="BodyText"/>
      </w:pPr>
      <w:r>
        <w:t xml:space="preserve">Then I did the thing that made the day worth reporting. I went back and checked my own repairs against the code instead of against my notes, and</w:t>
      </w:r>
      <w:r>
        <w:t xml:space="preserve"> </w:t>
      </w:r>
      <w:r>
        <w:rPr>
          <w:b/>
          <w:bCs/>
        </w:rPr>
        <w:t xml:space="preserve">seven of the thirty I had marked fixed were not fixed</w:t>
      </w:r>
      <w:r>
        <w:t xml:space="preserve">. I had edited code near them and counted it. That is the whole lesson of the day, and it is a better one than the sixty.</w:t>
      </w:r>
    </w:p>
    <w:p>
      <w:pPr>
        <w:pStyle w:val="BodyText"/>
      </w:pPr>
      <w:r>
        <w:t xml:space="preserve">Everything is tested. 115 automated suites green, the self-check at zero failures.</w:t>
      </w:r>
    </w:p>
    <w:bookmarkStart w:id="19" w:name="what-i-did"/>
    <w:p>
      <w:pPr>
        <w:pStyle w:val="Heading2"/>
      </w:pPr>
      <w:r>
        <w:t xml:space="preserve">What I did</w:t>
      </w:r>
    </w:p>
    <w:bookmarkStart w:id="12" w:name="the-audit"/>
    <w:p>
      <w:pPr>
        <w:pStyle w:val="Heading3"/>
      </w:pPr>
      <w:r>
        <w:t xml:space="preserve">The audit</w:t>
      </w:r>
    </w:p>
    <w:p>
      <w:pPr>
        <w:pStyle w:val="FirstParagraph"/>
      </w:pPr>
      <w:r>
        <w:t xml:space="preserve">It started with a screenshot. I opened the Draft workspace with a source loaded and two of the four panels were simply blank. It made no sense, so rather than patch the two panels I had a full audit done of the screen.</w:t>
      </w:r>
    </w:p>
    <w:p>
      <w:pPr>
        <w:pStyle w:val="BodyText"/>
      </w:pPr>
      <w:r>
        <w:rPr>
          <w:b/>
          <w:bCs/>
        </w:rPr>
        <w:t xml:space="preserve">The two blanks were real, and neither was a rendering problem.</w:t>
      </w:r>
      <w:r>
        <w:t xml:space="preserve"> </w:t>
      </w:r>
      <w:r>
        <w:t xml:space="preserve">The Evidence Ribbon carried its own instructions — and loading a source erased them. So the panel explained itself right up until the moment I followed step one, and then went silent. The bottom-right panel had never been given any content at all: it is shared by several tools, which is exactly why it has to say so. An unlabelled shared output box cannot be read.</w:t>
      </w:r>
    </w:p>
    <w:p>
      <w:pPr>
        <w:pStyle w:val="BodyText"/>
      </w:pPr>
      <w:r>
        <w:t xml:space="preserve">The audit then explained something I had not asked about — junk text sitting in my own draft. The guard meant to stop empty bibliography entries tested for a string the composer cannot produce, so it never fired, and every accept had been pasting scaffolding into the draft under a banner claiming it conformed to our published house format.</w:t>
      </w:r>
    </w:p>
    <w:p>
      <w:pPr>
        <w:pStyle w:val="CaptionedFigure"/>
      </w:pPr>
      <w:r>
        <w:drawing>
          <wp:inline>
            <wp:extent cx="5334000" cy="2492419"/>
            <wp:effectExtent b="0" l="0" r="0" t="0"/>
            <wp:docPr descr="The Draft workspace as it now stands: a passage on the bench, the Evidence Ribbon showing a clause’s anchors, and the apparatus panel naming what fills it instead of sitting blank." title="" id="10" name="Picture"/>
            <a:graphic>
              <a:graphicData uri="http://schemas.openxmlformats.org/drawingml/2006/picture">
                <pic:pic>
                  <pic:nvPicPr>
                    <pic:cNvPr descr="img/2026-09-12/draft-workspac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2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Draft workspace as it now stands: a passage on the bench, the Evidence Ribbon showing a clause’s anchors, and the apparatus panel naming what fills it instead of sitting blank.</w:t>
      </w:r>
    </w:p>
    <w:bookmarkEnd w:id="12"/>
    <w:bookmarkStart w:id="13" w:name="what-the-audit-was-really-about"/>
    <w:p>
      <w:pPr>
        <w:pStyle w:val="Heading3"/>
      </w:pPr>
      <w:r>
        <w:t xml:space="preserve">What the audit was really about</w:t>
      </w:r>
    </w:p>
    <w:p>
      <w:pPr>
        <w:pStyle w:val="FirstParagraph"/>
      </w:pPr>
      <w:r>
        <w:t xml:space="preserve">Sixty findings, and a pattern behind them:</w:t>
      </w:r>
      <w:r>
        <w:t xml:space="preserve"> </w:t>
      </w:r>
      <w:r>
        <w:rPr>
          <w:b/>
          <w:bCs/>
        </w:rPr>
        <w:t xml:space="preserve">a control that cannot act failing to say why before it is pressed, rather than after.</w:t>
      </w:r>
      <w:r>
        <w:t xml:space="preserve"> </w:t>
      </w:r>
      <w:r>
        <w:t xml:space="preserve">And its sibling: a result reported over nothing.</w:t>
      </w:r>
    </w:p>
    <w:p>
      <w:pPr>
        <w:pStyle w:val="Compact"/>
        <w:numPr>
          <w:ilvl w:val="0"/>
          <w:numId w:val="1001"/>
        </w:numPr>
      </w:pPr>
      <w:r>
        <w:t xml:space="preserve">“Check terminology”</w:t>
      </w:r>
      <w:r>
        <w:t xml:space="preserve"> </w:t>
      </w:r>
      <w:r>
        <w:t xml:space="preserve">with no source loaded printed</w:t>
      </w:r>
      <w:r>
        <w:t xml:space="preserve"> </w:t>
      </w:r>
      <w:r>
        <w:t xml:space="preserve">“0 terms · 0 without an equivalent”</w:t>
      </w:r>
      <w:r>
        <w:t xml:space="preserve"> </w:t>
      </w:r>
      <w:r>
        <w:t xml:space="preserve">— a tally that reads as</w:t>
      </w:r>
      <w:r>
        <w:t xml:space="preserve"> </w:t>
      </w:r>
      <w:r>
        <w:rPr>
          <w:i/>
          <w:iCs/>
        </w:rPr>
        <w:t xml:space="preserve">my draft is clean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Four structural tools answered confidently about an empty box:</w:t>
      </w:r>
      <w:r>
        <w:t xml:space="preserve"> </w:t>
      </w:r>
      <w:r>
        <w:t xml:space="preserve">“no sa bcad markers found in this text”</w:t>
      </w:r>
      <w:r>
        <w:t xml:space="preserve">,</w:t>
      </w:r>
      <w:r>
        <w:t xml:space="preserve"> </w:t>
      </w:r>
      <w:r>
        <w:t xml:space="preserve">“no dominant meter”</w:t>
      </w:r>
      <w:r>
        <w:t xml:space="preserve">. Each of those is a finding about a text, and there was no text.</w:t>
      </w:r>
    </w:p>
    <w:p>
      <w:pPr>
        <w:pStyle w:val="Compact"/>
        <w:numPr>
          <w:ilvl w:val="0"/>
          <w:numId w:val="1001"/>
        </w:numPr>
      </w:pPr>
      <w:r>
        <w:t xml:space="preserve">Five insertions landed wherever the draft’s cursor last sat, often off-screen, then the dialog closed — so a control that had worked looked broken.</w:t>
      </w:r>
    </w:p>
    <w:bookmarkEnd w:id="13"/>
    <w:bookmarkStart w:id="14" w:name="the-one-that-mattered-most"/>
    <w:p>
      <w:pPr>
        <w:pStyle w:val="Heading3"/>
      </w:pPr>
      <w:r>
        <w:t xml:space="preserve">The one that mattered most</w:t>
      </w:r>
    </w:p>
    <w:p>
      <w:pPr>
        <w:pStyle w:val="FirstParagraph"/>
      </w:pPr>
      <w:r>
        <w:t xml:space="preserve">It was not in the sixty. I tested the terminology matcher rather than reading it:</w:t>
      </w:r>
    </w:p>
    <w:p>
      <w:pPr>
        <w:pStyle w:val="BlockText"/>
      </w:pPr>
      <w:r>
        <w:t xml:space="preserve">“mind”</w:t>
      </w:r>
      <w:r>
        <w:t xml:space="preserve"> </w:t>
      </w:r>
      <w:r>
        <w:t xml:space="preserve">found in</w:t>
      </w:r>
      <w:r>
        <w:t xml:space="preserve"> </w:t>
      </w:r>
      <w:r>
        <w:t xml:space="preserve">“he</w:t>
      </w:r>
      <w:r>
        <w:t xml:space="preserve"> </w:t>
      </w:r>
      <w:r>
        <w:rPr>
          <w:b/>
          <w:bCs/>
        </w:rPr>
        <w:t xml:space="preserve">remind</w:t>
      </w:r>
      <w:r>
        <w:t xml:space="preserve">ed them of the vow”</w:t>
      </w:r>
      <w:r>
        <w:t xml:space="preserve"> </w:t>
      </w:r>
      <w:r>
        <w:t xml:space="preserve">— MATCH</w:t>
      </w:r>
      <w:r>
        <w:t xml:space="preserve"> </w:t>
      </w:r>
      <w:r>
        <w:t xml:space="preserve">“art”</w:t>
      </w:r>
      <w:r>
        <w:t xml:space="preserve"> </w:t>
      </w:r>
      <w:r>
        <w:t xml:space="preserve">found in</w:t>
      </w:r>
      <w:r>
        <w:t xml:space="preserve"> </w:t>
      </w:r>
      <w:r>
        <w:t xml:space="preserve">“a dep</w:t>
      </w:r>
      <w:r>
        <w:rPr>
          <w:b/>
          <w:bCs/>
        </w:rPr>
        <w:t xml:space="preserve">art</w:t>
      </w:r>
      <w:r>
        <w:t xml:space="preserve">ure from the path”</w:t>
      </w:r>
      <w:r>
        <w:t xml:space="preserve"> </w:t>
      </w:r>
      <w:r>
        <w:t xml:space="preserve">— MATCH</w:t>
      </w:r>
      <w:r>
        <w:t xml:space="preserve"> </w:t>
      </w:r>
      <w:r>
        <w:t xml:space="preserve">“one”</w:t>
      </w:r>
      <w:r>
        <w:t xml:space="preserve"> </w:t>
      </w:r>
      <w:r>
        <w:t xml:space="preserve">found in</w:t>
      </w:r>
      <w:r>
        <w:t xml:space="preserve"> </w:t>
      </w:r>
      <w:r>
        <w:t xml:space="preserve">“he was h</w:t>
      </w:r>
      <w:r>
        <w:rPr>
          <w:b/>
          <w:bCs/>
        </w:rPr>
        <w:t xml:space="preserve">one</w:t>
      </w:r>
      <w:r>
        <w:t xml:space="preserve">st about it”</w:t>
      </w:r>
      <w:r>
        <w:t xml:space="preserve"> </w:t>
      </w:r>
      <w:r>
        <w:t xml:space="preserve">— MATCH</w:t>
      </w:r>
    </w:p>
    <w:p>
      <w:pPr>
        <w:pStyle w:val="FirstParagraph"/>
      </w:pPr>
      <w:r>
        <w:t xml:space="preserve">A plain substring search sat underneath the pane’s headline verdict. Every one of those reported a term as</w:t>
      </w:r>
      <w:r>
        <w:t xml:space="preserve"> </w:t>
      </w:r>
      <w:r>
        <w:rPr>
          <w:b/>
          <w:bCs/>
        </w:rPr>
        <w:t xml:space="preserve">rendered</w:t>
      </w:r>
      <w:r>
        <w:t xml:space="preserve"> </w:t>
      </w:r>
      <w:r>
        <w:t xml:space="preserve">when the equivalent never appears as a word at all. A translator reading</w:t>
      </w:r>
      <w:r>
        <w:t xml:space="preserve"> </w:t>
      </w:r>
      <w:r>
        <w:t xml:space="preserve">“12 of 14 terms matched”</w:t>
      </w:r>
      <w:r>
        <w:t xml:space="preserve"> </w:t>
      </w:r>
      <w:r>
        <w:t xml:space="preserve">was being told something false about their own draft — and in the direction that flatters it.</w:t>
      </w:r>
    </w:p>
    <w:bookmarkEnd w:id="14"/>
    <w:bookmarkStart w:id="15" w:name="where-the-tool-was-overstating-you"/>
    <w:p>
      <w:pPr>
        <w:pStyle w:val="Heading3"/>
      </w:pPr>
      <w:r>
        <w:t xml:space="preserve">Where the tool was overstating you</w:t>
      </w:r>
    </w:p>
    <w:p>
      <w:pPr>
        <w:pStyle w:val="FirstParagraph"/>
      </w:pPr>
      <w:r>
        <w:t xml:space="preserve">Three places, all fixed, all the same class: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Your published English was being cut mid-sentence</w:t>
      </w:r>
      <w:r>
        <w:t xml:space="preserve"> </w:t>
      </w:r>
      <w:r>
        <w:t xml:space="preserve">in seven places with no ellipsis and no mark. On a tool whose whole claim is that the English on screen is yours, an invisible cut is the wrong silence.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“The master has translated this clause”</w:t>
      </w:r>
      <w:r>
        <w:t xml:space="preserve"> </w:t>
      </w:r>
      <w:r>
        <w:t xml:space="preserve">appeared over what was only a containment hit — the clause appears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larger segment, and what followed was that whole segment’s English. It now says</w:t>
      </w:r>
      <w:r>
        <w:t xml:space="preserve"> </w:t>
      </w:r>
      <w:r>
        <w:t xml:space="preserve">“this clause appears in the corpus”</w:t>
      </w:r>
      <w:r>
        <w:t xml:space="preserve"> </w:t>
      </w:r>
      <w:r>
        <w:t xml:space="preserve">and, where the clause is a small part of the segment, says what percentage.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AI back-check claimed the model’s citations were engine-verified.</w:t>
      </w:r>
      <w:r>
        <w:t xml:space="preserve"> </w:t>
      </w:r>
      <w:r>
        <w:t xml:space="preserve">They are not. The engine gives the model verified anchors; nothing checks what it writes back.</w:t>
      </w:r>
    </w:p>
    <w:bookmarkEnd w:id="15"/>
    <w:bookmarkStart w:id="16" w:name="the-suite-was-editing-your-own-work"/>
    <w:p>
      <w:pPr>
        <w:pStyle w:val="Heading3"/>
      </w:pPr>
      <w:r>
        <w:t xml:space="preserve">The suite was editing your own work</w:t>
      </w:r>
    </w:p>
    <w:p>
      <w:pPr>
        <w:pStyle w:val="FirstParagraph"/>
      </w:pPr>
      <w:r>
        <w:t xml:space="preserve">Eight separate findings, none of them in the pane’s logic. The test battery had been writing into my real data: six phantom document records in the library, one carrying</w:t>
      </w:r>
      <w:r>
        <w:t xml:space="preserve"> </w:t>
      </w:r>
      <w:r>
        <w:rPr>
          <w:b/>
          <w:bCs/>
        </w:rPr>
        <w:t xml:space="preserve">revision 410</w:t>
      </w:r>
      <w:r>
        <w:t xml:space="preserve"> </w:t>
      </w:r>
      <w:r>
        <w:t xml:space="preserve">— four hundred and ten runs of accumulated history for a document nobody ever wrote. It reset my scroll position and cursor in the reading pane, put temp files in my recent-files list, and switched my Features choices back on.</w:t>
      </w:r>
    </w:p>
    <w:bookmarkEnd w:id="16"/>
    <w:bookmarkStart w:id="17" w:name="renaming-a-draft-lost-its-history"/>
    <w:p>
      <w:pPr>
        <w:pStyle w:val="Heading3"/>
      </w:pPr>
      <w:r>
        <w:t xml:space="preserve">Renaming a draft lost its history</w:t>
      </w:r>
    </w:p>
    <w:p>
      <w:pPr>
        <w:pStyle w:val="FirstParagraph"/>
      </w:pPr>
      <w:r>
        <w:t xml:space="preserve">Or appeared to. The version history is keyed differently from the properties record, so renaming or moving a draft left the history behind and the Versions window announced</w:t>
      </w:r>
      <w:r>
        <w:t xml:space="preserve"> </w:t>
      </w:r>
      <w:r>
        <w:t xml:space="preserve">“No versions yet”</w:t>
      </w:r>
      <w:r>
        <w:t xml:space="preserve"> </w:t>
      </w:r>
      <w:r>
        <w:t xml:space="preserve">over work still sitting on disk. Three panes needed the same fix and one of them — the Manuscript — had been missed entirely.</w:t>
      </w:r>
    </w:p>
    <w:p>
      <w:pPr>
        <w:pStyle w:val="BodyText"/>
      </w:pPr>
      <w:r>
        <w:t xml:space="preserve">The Versions window itself was the subtler half: a version record deliberately keeps the path the file had</w:t>
      </w:r>
      <w:r>
        <w:t xml:space="preserve"> </w:t>
      </w:r>
      <w:r>
        <w:rPr>
          <w:b/>
          <w:bCs/>
        </w:rPr>
        <w:t xml:space="preserve">when it was saved</w:t>
      </w:r>
      <w:r>
        <w:t xml:space="preserve">, because that is provenance and rewriting it would falsify the record. The fix was not to rewrite history but to make the window say what is true —</w:t>
      </w:r>
      <w:r>
        <w:t xml:space="preserve"> </w:t>
      </w:r>
      <w:r>
        <w:rPr>
          <w:i/>
          <w:iCs/>
        </w:rPr>
        <w:t xml:space="preserve">these versions exist, recorded under the file’s former path, nothing has been lost.</w:t>
      </w:r>
    </w:p>
    <w:bookmarkEnd w:id="17"/>
    <w:bookmarkStart w:id="18" w:name="then-i-checked-my-own-work"/>
    <w:p>
      <w:pPr>
        <w:pStyle w:val="Heading3"/>
      </w:pPr>
      <w:r>
        <w:t xml:space="preserve">Then I checked my own work</w:t>
      </w:r>
    </w:p>
    <w:p>
      <w:pPr>
        <w:pStyle w:val="FirstParagraph"/>
      </w:pPr>
      <w:r>
        <w:t xml:space="preserve">Thirty findings I had marked closed, checked against the code rather than my notes.</w:t>
      </w:r>
      <w:r>
        <w:t xml:space="preserve"> </w:t>
      </w:r>
      <w:r>
        <w:rPr>
          <w:b/>
          <w:bCs/>
        </w:rPr>
        <w:t xml:space="preserve">Seven were not closed.</w:t>
      </w:r>
      <w:r>
        <w:t xml:space="preserve"> </w:t>
      </w:r>
      <w:r>
        <w:t xml:space="preserve">One I had never touched at all — I had fixed a different widget in a different column and counted it. Two of the fixes were inert: one was undone by the toolkit a moment after I applied it, which was proved by building a small probe rather than by reasoning. One guard was present but sat on a path where it had already been switched off — proved from my own settings file, which still held the probe folder written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fix.</w:t>
      </w:r>
    </w:p>
    <w:bookmarkEnd w:id="18"/>
    <w:bookmarkEnd w:id="19"/>
    <w:bookmarkStart w:id="20" w:name="decisions-i-made-along-the-way"/>
    <w:p>
      <w:pPr>
        <w:pStyle w:val="Heading2"/>
      </w:pPr>
      <w:r>
        <w:t xml:space="preserve">Decisions I made along the way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 not rewrite a version’s recorded path.</w:t>
      </w:r>
      <w:r>
        <w:t xml:space="preserve"> </w:t>
      </w:r>
      <w:r>
        <w:t xml:space="preserve">It is provenance. Fix the viewer instead.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 not re-key the properties record yet.</w:t>
      </w:r>
      <w:r>
        <w:t xml:space="preserve"> </w:t>
      </w:r>
      <w:r>
        <w:t xml:space="preserve">It would have started losing properties on every Move until all three panes carried history — and one did not. The reasoning is written down for whoever picks it 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Leave the false marks visible.</w:t>
      </w:r>
      <w:r>
        <w:t xml:space="preserve"> </w:t>
      </w:r>
      <w:r>
        <w:t xml:space="preserve">Where a document claimed something untrue, I corrected it with a note beside it rather than quietly editing it. A plan that marks itself complete is worth less than one that can be checked.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Withhold rather than guess.</w:t>
      </w:r>
      <w:r>
        <w:t xml:space="preserve"> </w:t>
      </w:r>
      <w:r>
        <w:t xml:space="preserve">An engine-generated pronunciation no longer goes into a publishable draft unmarked; the tool says which reading it withheld and why.</w:t>
      </w:r>
    </w:p>
    <w:bookmarkEnd w:id="20"/>
    <w:bookmarkStart w:id="21" w:name="numbers"/>
    <w:p>
      <w:pPr>
        <w:pStyle w:val="Heading2"/>
      </w:pPr>
      <w:r>
        <w:t xml:space="preserve">Numbers</w:t>
      </w:r>
    </w:p>
    <w:p>
      <w:pPr>
        <w:pStyle w:val="Compact"/>
        <w:numPr>
          <w:ilvl w:val="0"/>
          <w:numId w:val="1004"/>
        </w:numPr>
      </w:pPr>
      <w:r>
        <w:t xml:space="preserve">Defects found in one screen:</w:t>
      </w:r>
      <w:r>
        <w:t xml:space="preserve"> </w:t>
      </w:r>
      <w:r>
        <w:rPr>
          <w:b/>
          <w:bCs/>
        </w:rPr>
        <w:t xml:space="preserve">60</w:t>
      </w:r>
      <w:r>
        <w:t xml:space="preserve"> </w:t>
      </w:r>
      <w:r>
        <w:t xml:space="preserve">— 18 serious, 31 moderate, 11 minor</w:t>
      </w:r>
    </w:p>
    <w:p>
      <w:pPr>
        <w:pStyle w:val="Compact"/>
        <w:numPr>
          <w:ilvl w:val="0"/>
          <w:numId w:val="1004"/>
        </w:numPr>
      </w:pPr>
      <w:r>
        <w:t xml:space="preserve">My own repairs re-checked against the code:</w:t>
      </w:r>
      <w:r>
        <w:t xml:space="preserve"> </w:t>
      </w:r>
      <w:r>
        <w:rPr>
          <w:b/>
          <w:bCs/>
        </w:rPr>
        <w:t xml:space="preserve">30</w:t>
      </w:r>
    </w:p>
    <w:p>
      <w:pPr>
        <w:pStyle w:val="Compact"/>
        <w:numPr>
          <w:ilvl w:val="0"/>
          <w:numId w:val="1004"/>
        </w:numPr>
      </w:pPr>
      <w:r>
        <w:t xml:space="preserve">…of those, confirmed genuinely fixed:</w:t>
      </w:r>
      <w:r>
        <w:t xml:space="preserve"> </w:t>
      </w:r>
      <w:r>
        <w:rPr>
          <w:b/>
          <w:bCs/>
        </w:rPr>
        <w:t xml:space="preserve">23</w:t>
      </w:r>
    </w:p>
    <w:p>
      <w:pPr>
        <w:pStyle w:val="Compact"/>
        <w:numPr>
          <w:ilvl w:val="0"/>
          <w:numId w:val="1004"/>
        </w:numPr>
      </w:pPr>
      <w:r>
        <w:t xml:space="preserve">…of those,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actually fixed despite my having said so:</w:t>
      </w:r>
      <w:r>
        <w:t xml:space="preserve"> </w:t>
      </w:r>
      <w:r>
        <w:rPr>
          <w:b/>
          <w:bCs/>
        </w:rPr>
        <w:t xml:space="preserve">7</w:t>
      </w:r>
    </w:p>
    <w:p>
      <w:pPr>
        <w:pStyle w:val="Compact"/>
        <w:numPr>
          <w:ilvl w:val="0"/>
          <w:numId w:val="1004"/>
        </w:numPr>
      </w:pPr>
      <w:r>
        <w:t xml:space="preserve">Deliberately not fixed, with the reason written down:</w:t>
      </w:r>
      <w:r>
        <w:t xml:space="preserve"> </w:t>
      </w:r>
      <w:r>
        <w:rPr>
          <w:b/>
          <w:bCs/>
        </w:rPr>
        <w:t xml:space="preserve">3</w:t>
      </w:r>
    </w:p>
    <w:p>
      <w:pPr>
        <w:pStyle w:val="Compact"/>
        <w:numPr>
          <w:ilvl w:val="0"/>
          <w:numId w:val="1004"/>
        </w:numPr>
      </w:pPr>
      <w:r>
        <w:t xml:space="preserve">Repaired but not yet independently re-checked: the remainder — and after</w:t>
      </w:r>
      <w:r>
        <w:t xml:space="preserve"> </w:t>
      </w:r>
      <w:r>
        <w:t xml:space="preserve">today I am not going to quote that as a number of successes</w:t>
      </w:r>
    </w:p>
    <w:p>
      <w:pPr>
        <w:pStyle w:val="Compact"/>
        <w:numPr>
          <w:ilvl w:val="0"/>
          <w:numId w:val="1004"/>
        </w:numPr>
      </w:pPr>
      <w:r>
        <w:t xml:space="preserve">Phantom document records removed from my library: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(one at revision 410)</w:t>
      </w:r>
    </w:p>
    <w:p>
      <w:pPr>
        <w:pStyle w:val="Compact"/>
        <w:numPr>
          <w:ilvl w:val="0"/>
          <w:numId w:val="1004"/>
        </w:numPr>
      </w:pPr>
      <w:r>
        <w:t xml:space="preserve">Automated suites green:</w:t>
      </w:r>
      <w:r>
        <w:t xml:space="preserve"> </w:t>
      </w:r>
      <w:r>
        <w:rPr>
          <w:b/>
          <w:bCs/>
        </w:rPr>
        <w:t xml:space="preserve">115</w:t>
      </w:r>
    </w:p>
    <w:bookmarkEnd w:id="21"/>
    <w:bookmarkStart w:id="22" w:name="open-questions-for-leadership"/>
    <w:p>
      <w:pPr>
        <w:pStyle w:val="Heading2"/>
      </w:pPr>
      <w:r>
        <w:t xml:space="preserve">Open questions for leadership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TestFlight.</w:t>
      </w:r>
      <w:r>
        <w:t xml:space="preserve"> </w:t>
      </w:r>
      <w:r>
        <w:t xml:space="preserve">Unchanged from yesterday: the programme is paid, the app is signed and running on my phone, nothing is uploaded. I would like to know who should have it before I put a build there.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second reader.</w:t>
      </w:r>
      <w:r>
        <w:t xml:space="preserve"> </w:t>
      </w:r>
      <w:r>
        <w:t xml:space="preserve">Today’s most valuable hour was spent checking my own work and finding it wanting. That argues for someone other than me reading this code before release, and I would like to know who that could be.</w:t>
      </w:r>
    </w:p>
    <w:bookmarkEnd w:id="22"/>
    <w:bookmarkStart w:id="23" w:name="next"/>
    <w:p>
      <w:pPr>
        <w:pStyle w:val="Heading2"/>
      </w:pPr>
      <w:r>
        <w:t xml:space="preserve">Next</w:t>
      </w:r>
    </w:p>
    <w:p>
      <w:pPr>
        <w:pStyle w:val="Compact"/>
        <w:numPr>
          <w:ilvl w:val="0"/>
          <w:numId w:val="1006"/>
        </w:numPr>
      </w:pPr>
      <w:r>
        <w:t xml:space="preserve">Finish the seven, then the eleven minor findings.</w:t>
      </w:r>
    </w:p>
    <w:p>
      <w:pPr>
        <w:pStyle w:val="Compact"/>
        <w:numPr>
          <w:ilvl w:val="0"/>
          <w:numId w:val="1006"/>
        </w:numPr>
      </w:pPr>
      <w:r>
        <w:t xml:space="preserve">Audit the remaining panes the same way. If one screen held sixty, the others are not clean.</w:t>
      </w:r>
    </w:p>
    <w:p>
      <w:pPr>
        <w:pStyle w:val="Compact"/>
        <w:numPr>
          <w:ilvl w:val="0"/>
          <w:numId w:val="1006"/>
        </w:numPr>
      </w:pPr>
      <w:r>
        <w:t xml:space="preserve">The reading practice from the Kawachen site, rebuilt to work offline.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200" w:line="288" w:lineRule="auto"/>
    </w:pPr>
    <w:name w:val="Normal"/>
    <w:qFormat/>
  </w:style>
  <w:style w:styleId="BodyText" w:type="paragraph">
    <w:name w:val="Body Text"/>
    <w:basedOn w:val="Normal"/>
    <w:link w:val="BodyTextChar"/>
    <w:qFormat/>
    <w:pPr>
      <w:spacing w:after="200" w:line="288" w:lineRule="auto"/>
    </w:pPr>
  </w:style>
  <w:style w:customStyle="1" w:styleId="FirstParagraph" w:type="paragraph">
    <w:pPr>
      <w:spacing w:after="200" w:line="288" w:lineRule="auto"/>
    </w:pPr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14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20"/>
      <w:jc w:val="center"/>
      <w:contextualSpacing/>
    </w:pPr>
    <w:rPr>
      <w:rFonts w:asciiTheme="majorHAnsi" w:cstheme="majorBidi" w:eastAsiaTheme="majorEastAsia" w:hAnsiTheme="majorHAnsi"/>
      <w:szCs w:val="56"/>
      <w:sz w:val="22"/>
      <w:szCs w:val="2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240" w:before="560"/>
      <w:keepNext/>
      <w:jc w:val="center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240" w:before="520"/>
      <w:keepNext/>
      <w:jc w:val="center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60" w:before="400"/>
      <w:keepNext/>
      <w:jc w:val="center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480" w:before="120"/>
      <w:jc w:val="center"/>
    </w:pPr>
    <w:rPr>
      <w:i/>
    </w:rPr>
  </w:style>
  <w:style w:customStyle="1" w:styleId="TableCaption" w:type="paragraph">
    <w:name w:val="Table Caption"/>
    <w:basedOn w:val="Caption"/>
    <w:pPr>
      <w:spacing w:after="140" w:before="240"/>
      <w:keepNext/>
      <w:jc w:val="center"/>
      <w:keepNext/>
    </w:pPr>
  </w:style>
  <w:style w:customStyle="1" w:styleId="ImageCaption" w:type="paragraph">
    <w:pPr>
      <w:spacing w:after="480" w:before="120"/>
      <w:jc w:val="center"/>
    </w:pPr>
    <w:name w:val="Image Caption"/>
    <w:basedOn w:val="Caption"/>
  </w:style>
  <w:style w:customStyle="1" w:styleId="Figure" w:type="paragraph">
    <w:pPr>
      <w:spacing w:after="120" w:before="440"/>
      <w:keepNext/>
      <w:jc w:val="center"/>
    </w:pPr>
    <w:name w:val="Figure"/>
    <w:basedOn w:val="Normal"/>
  </w:style>
  <w:style w:customStyle="1" w:styleId="CaptionedFigure" w:type="paragraph">
    <w:name w:val="Captioned Figure"/>
    <w:basedOn w:val="Figure"/>
    <w:pPr>
      <w:spacing w:after="120" w:before="440"/>
      <w:keepNext/>
      <w:jc w:val="center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2026-09-12T20:15:51Z</dcterms:created>
  <dcterms:modified xsi:type="dcterms:W3CDTF">2026-09-12T20:15:51Z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