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7e4d6150a0a9d0367d7371e84e1f911e4433e9"/>
    <w:p>
      <w:pPr>
        <w:pStyle w:val="Heading1"/>
      </w:pPr>
      <w:r>
        <w:t xml:space="preserve">ALL Translation Tool — Open-Source &amp; Data Notices</w:t>
      </w:r>
    </w:p>
    <w:p>
      <w:pPr>
        <w:pStyle w:val="FirstParagraph"/>
      </w:pPr>
      <w:r>
        <w:rPr>
          <w:i/>
          <w:iCs/>
        </w:rPr>
        <w:t xml:space="preserve">Ships with every release. This document names every third-party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 and data source the application uses, with its license</w:t>
      </w:r>
      <w:r>
        <w:rPr>
          <w:i/>
          <w:iCs/>
        </w:rPr>
        <w:t xml:space="preserve"> </w:t>
      </w:r>
      <w:r>
        <w:rPr>
          <w:i/>
          <w:iCs/>
        </w:rPr>
        <w:t xml:space="preserve">and how it appears in the tool. Maintained per release; if a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 enters or leaves the tool, this document changes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commit.</w:t>
      </w:r>
    </w:p>
    <w:p>
      <w:pPr>
        <w:pStyle w:val="BodyText"/>
      </w:pPr>
      <w:r>
        <w:t xml:space="preserve">Version: 0.27.2 · August 2026</w:t>
      </w:r>
    </w:p>
    <w:p>
      <w:r>
        <w:pict>
          <v:rect style="width:0;height:1.5pt" o:hralign="center" o:hrstd="t" o:hr="t"/>
        </w:pict>
      </w:r>
    </w:p>
    <w:bookmarkStart w:id="9" w:name="software-components"/>
    <w:p>
      <w:pPr>
        <w:pStyle w:val="Heading2"/>
      </w:pPr>
      <w:r>
        <w:t xml:space="preserve">Software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 6 (Widgets, Gui, Core, Network)</w:t>
            </w:r>
          </w:p>
        </w:tc>
        <w:tc>
          <w:tcPr/>
          <w:p>
            <w:pPr>
              <w:pStyle w:val="Compact"/>
            </w:pPr>
            <w:r>
              <w:t xml:space="preserve">LGPL v3</w:t>
            </w:r>
          </w:p>
        </w:tc>
        <w:tc>
          <w:tcPr/>
          <w:p>
            <w:pPr>
              <w:pStyle w:val="Compact"/>
            </w:pPr>
            <w:r>
              <w:t xml:space="preserve">the user interface toolkit, dynamically linked; Qt frameworks ship inside the app bundle unmodified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HarfBuzz (bundled with Qt)</w:t>
            </w:r>
          </w:p>
        </w:tc>
        <w:tc>
          <w:tcPr/>
          <w:p>
            <w:pPr>
              <w:pStyle w:val="Compact"/>
            </w:pPr>
            <w:r>
              <w:t xml:space="preserve">MIT-style</w:t>
            </w:r>
          </w:p>
        </w:tc>
        <w:tc>
          <w:tcPr/>
          <w:p>
            <w:pPr>
              <w:pStyle w:val="Compact"/>
            </w:pPr>
            <w:r>
              <w:t xml:space="preserve">Tibetan complex-script shaping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+ FTS5</w:t>
            </w:r>
          </w:p>
        </w:tc>
        <w:tc>
          <w:tcPr/>
          <w:p>
            <w:pPr>
              <w:pStyle w:val="Compac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</w:pPr>
            <w:r>
              <w:t xml:space="preserve">the data spine and all full-text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Runtime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runs the text-recognition models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Botok (ported to C++ from the Python original by Esukhia/OpenPecha)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Tibetan word segmentation (reference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tesseract (optional, user-installed)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Devanagari OCR in the Convert/Sanskrit panes</w:t>
            </w:r>
          </w:p>
        </w:tc>
      </w:tr>
    </w:tbl>
    <w:bookmarkEnd w:id="9"/>
    <w:bookmarkStart w:id="10" w:name="recognition-models"/>
    <w:p>
      <w:pPr>
        <w:pStyle w:val="Heading2"/>
      </w:pPr>
      <w:r>
        <w:t xml:space="preserve">Recognition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BDRC line-detection model (PhotiLines) and Woodblock recognition model</w:t>
            </w:r>
          </w:p>
        </w:tc>
        <w:tc>
          <w:tcPr/>
          <w:p>
            <w:pPr>
              <w:pStyle w:val="Compact"/>
            </w:pPr>
            <w:r>
              <w:t xml:space="preserve">CC BY-NC 4.0, used with BDRC’s permission (docs/licenses/BDRC_OCR_permission.md)</w:t>
            </w:r>
          </w:p>
        </w:tc>
        <w:tc>
          <w:tcPr/>
          <w:p>
            <w:pPr>
              <w:pStyle w:val="Compact"/>
            </w:pPr>
            <w:r>
              <w:t xml:space="preserve">the Scan pane and Input-pane OCR; credited in the interface wherever output appears; all output marked review material</w:t>
            </w:r>
          </w:p>
        </w:tc>
      </w:tr>
    </w:tbl>
    <w:bookmarkEnd w:id="10"/>
    <w:bookmarkStart w:id="11" w:name="reference-data-layers"/>
    <w:p>
      <w:pPr>
        <w:pStyle w:val="Heading2"/>
      </w:pPr>
      <w:r>
        <w:t xml:space="preserve">Reference data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License / status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Mahāvyutpatti (DILA TEI edition)</w:t>
            </w:r>
          </w:p>
        </w:tc>
        <w:tc>
          <w:tcPr/>
          <w:p>
            <w:pPr>
              <w:pStyle w:val="Compact"/>
            </w:pPr>
            <w:r>
              <w:t xml:space="preserve">CC BY-SA 3.0</w:t>
            </w:r>
          </w:p>
        </w:tc>
        <w:tc>
          <w:tcPr/>
          <w:p>
            <w:pPr>
              <w:pStyle w:val="Compact"/>
            </w:pPr>
            <w:r>
              <w:t xml:space="preserve">Sanskrit–Tibetan equivalences on entry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Monlam word lists (via openpecha)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attestation layer (</w:t>
            </w:r>
            <w:r>
              <w:t xml:space="preserve">“this is a real word”</w:t>
            </w:r>
            <w:r>
              <w:t xml:space="preserve">) + segmenter lexicon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tibetan-spellchecker syllable data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the classical syllable-legality check (red waves, spelling doubts)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TibSchol abbreviations (rKTs)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bskungs-yig expansion on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Tibetan verbs database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verb reference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SOAS POS lexicon</w:t>
            </w:r>
          </w:p>
        </w:tc>
        <w:tc>
          <w:tcPr/>
          <w:p>
            <w:pPr>
              <w:pStyle w:val="Compact"/>
            </w:pPr>
            <w:r>
              <w:t xml:space="preserve">research use, banked with provenance</w:t>
            </w:r>
          </w:p>
        </w:tc>
        <w:tc>
          <w:tcPr/>
          <w:p>
            <w:pPr>
              <w:pStyle w:val="Compact"/>
            </w:pPr>
            <w:r>
              <w:t xml:space="preserve">Wilson-dots disambiguation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Whitney,</w:t>
            </w:r>
            <w:r>
              <w:t xml:space="preserve"> </w:t>
            </w:r>
            <w:r>
              <w:rPr>
                <w:i/>
                <w:iCs/>
              </w:rPr>
              <w:t xml:space="preserve">Roots</w:t>
            </w:r>
            <w:r>
              <w:t xml:space="preserve"> </w:t>
            </w:r>
            <w:r>
              <w:t xml:space="preserve">(1885) and</w:t>
            </w:r>
            <w:r>
              <w:t xml:space="preserve"> </w:t>
            </w:r>
            <w:r>
              <w:rPr>
                <w:i/>
                <w:iCs/>
              </w:rPr>
              <w:t xml:space="preserve">Sanskrit Grammar</w:t>
            </w:r>
            <w:r>
              <w:t xml:space="preserve"> </w:t>
            </w:r>
            <w:r>
              <w:t xml:space="preserve">(1879), via CDSL</w:t>
            </w:r>
          </w:p>
        </w:tc>
        <w:tc>
          <w:tcPr/>
          <w:p>
            <w:pPr>
              <w:pStyle w:val="Compact"/>
            </w:pPr>
            <w:r>
              <w:t xml:space="preserve">public domain (texts); CDSL encoding terms recorded at bank time</w:t>
            </w:r>
          </w:p>
        </w:tc>
        <w:tc>
          <w:tcPr/>
          <w:p>
            <w:pPr>
              <w:pStyle w:val="Compact"/>
            </w:pPr>
            <w:r>
              <w:t xml:space="preserve">Sanskrit root analyses and grammar link-outs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THL dictionary payload (Waldo, Rangjung Yeshe, Valby, Dan Martin, Hopkins layers, etc.)</w:t>
            </w:r>
          </w:p>
        </w:tc>
        <w:tc>
          <w:tcPr/>
          <w:p>
            <w:pPr>
              <w:pStyle w:val="Compact"/>
            </w:pPr>
            <w:r>
              <w:t xml:space="preserve">per-dictionary terms, LOCAL-ONLY display pending review — marked</w:t>
            </w:r>
            <w:r>
              <w:t xml:space="preserve"> </w:t>
            </w:r>
            <w:r>
              <w:t xml:space="preserve">“(local only)”</w:t>
            </w:r>
            <w:r>
              <w:t xml:space="preserve"> </w:t>
            </w:r>
            <w:r>
              <w:t xml:space="preserve">in the interface and NOT redistributed</w:t>
            </w:r>
          </w:p>
        </w:tc>
        <w:tc>
          <w:tcPr/>
          <w:p>
            <w:pPr>
              <w:pStyle w:val="Compact"/>
            </w:pPr>
            <w:r>
              <w:t xml:space="preserve">Lookup/Overlay reference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Lokesh Chandra Tibetan–Sanskrit layer</w:t>
            </w:r>
          </w:p>
        </w:tc>
        <w:tc>
          <w:tcPr/>
          <w:p>
            <w:pPr>
              <w:pStyle w:val="Compact"/>
            </w:pPr>
            <w:r>
              <w:t xml:space="preserve">extracted from ACIP’s own materials</w:t>
            </w:r>
          </w:p>
        </w:tc>
        <w:tc>
          <w:tcPr/>
          <w:p>
            <w:pPr>
              <w:pStyle w:val="Compact"/>
            </w:pPr>
            <w:r>
              <w:t xml:space="preserve">Sanskrit reference on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BDRC woodblock scans (IIIF)</w:t>
            </w:r>
          </w:p>
        </w:tc>
        <w:tc>
          <w:tcPr/>
          <w:p>
            <w:pPr>
              <w:pStyle w:val="Compact"/>
            </w:pPr>
            <w:r>
              <w:t xml:space="preserve">public-domain images, BDRC terms; fetched live, cached locally, attributed in-pane</w:t>
            </w:r>
          </w:p>
        </w:tc>
        <w:tc>
          <w:tcPr/>
          <w:p>
            <w:pPr>
              <w:pStyle w:val="Compact"/>
            </w:pPr>
            <w:r>
              <w:t xml:space="preserve">scan follow-along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Buddhist canonical texts (ACIP Releases)</w:t>
            </w:r>
          </w:p>
        </w:tc>
        <w:tc>
          <w:tcPr/>
          <w:p>
            <w:pPr>
              <w:pStyle w:val="Compact"/>
            </w:pPr>
            <w:r>
              <w:t xml:space="preserve">ACIP’s own preserved corpus</w:t>
            </w:r>
          </w:p>
        </w:tc>
        <w:tc>
          <w:tcPr/>
          <w:p>
            <w:pPr>
              <w:pStyle w:val="Compact"/>
            </w:pPr>
            <w:r>
              <w:t xml:space="preserve">the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 (bundled Tibetan faces)</w:t>
            </w:r>
          </w:p>
        </w:tc>
        <w:tc>
          <w:tcPr/>
          <w:p>
            <w:pPr>
              <w:pStyle w:val="Compact"/>
            </w:pPr>
            <w:r>
              <w:t xml:space="preserve">SIL OFL (each face’s license banked in data/fonts/FONTS.md)</w:t>
            </w:r>
          </w:p>
        </w:tc>
        <w:tc>
          <w:tcPr/>
          <w:p>
            <w:pPr>
              <w:pStyle w:val="Compact"/>
            </w:pPr>
            <w:r>
              <w:t xml:space="preserve">Tibetan script display</w:t>
            </w:r>
          </w:p>
        </w:tc>
      </w:tr>
    </w:tbl>
    <w:p>
      <w:pPr>
        <w:pStyle w:val="BodyText"/>
      </w:pPr>
      <w:r>
        <w:t xml:space="preserve">Teaching-moments index (Diamond Cutter Classics + The Knowledge Base YouTube channels) | Geshe Michael Roach’s own organizations’ teachings, harvested captions-only with ALL’s authorization (data/teaching/PROVENANCE.md); links open the original recordings | timecoded</w:t>
      </w:r>
      <w:r>
        <w:t xml:space="preserve"> </w:t>
      </w:r>
      <w:r>
        <w:t xml:space="preserve">“teaching this term”</w:t>
      </w:r>
      <w:r>
        <w:t xml:space="preserve"> </w:t>
      </w:r>
      <w:r>
        <w:t xml:space="preserve">links on entry cards; machine-located, labeled |</w:t>
      </w:r>
    </w:p>
    <w:bookmarkEnd w:id="11"/>
    <w:bookmarkStart w:id="12" w:name="the-dictionary-and-corpus"/>
    <w:p>
      <w:pPr>
        <w:pStyle w:val="Heading2"/>
      </w:pPr>
      <w:r>
        <w:t xml:space="preserve">The dictionary and corpus</w:t>
      </w:r>
    </w:p>
    <w:p>
      <w:pPr>
        <w:pStyle w:val="FirstParagraph"/>
      </w:pPr>
      <w:r>
        <w:t xml:space="preserve">The HGM dictionary, aligned corpus, registers, and published</w:t>
      </w:r>
      <w:r>
        <w:t xml:space="preserve"> </w:t>
      </w:r>
      <w:r>
        <w:t xml:space="preserve">apparatus are the Asian Legacy Library’s own data, © their</w:t>
      </w:r>
      <w:r>
        <w:t xml:space="preserve"> </w:t>
      </w:r>
      <w:r>
        <w:t xml:space="preserve">respective authors, distributed only within the ALL/ACIP team.</w:t>
      </w:r>
      <w:r>
        <w:t xml:space="preserve"> </w:t>
      </w:r>
      <w:r>
        <w:t xml:space="preserve">Geshe Michael Roach’s English is the binding layer; nothing in this</w:t>
      </w:r>
      <w:r>
        <w:t xml:space="preserve"> </w:t>
      </w:r>
      <w:r>
        <w:t xml:space="preserve">tool relicenses or republishes it.</w:t>
      </w:r>
    </w:p>
    <w:bookmarkEnd w:id="12"/>
    <w:bookmarkStart w:id="13" w:name="cross-validation-acknowledgments"/>
    <w:p>
      <w:pPr>
        <w:pStyle w:val="Heading2"/>
      </w:pPr>
      <w:r>
        <w:t xml:space="preserve">Cross-validation acknowledgments</w:t>
      </w:r>
    </w:p>
    <w:p>
      <w:pPr>
        <w:pStyle w:val="FirstParagraph"/>
      </w:pPr>
      <w:r>
        <w:t xml:space="preserve">The engines were independently cross-checked against pyewts,</w:t>
      </w:r>
      <w:r>
        <w:t xml:space="preserve"> </w:t>
      </w:r>
      <w:r>
        <w:t xml:space="preserve">THL’s wylie.js and Wylie.java, and Svante Janson’s calendar work as</w:t>
      </w:r>
      <w:r>
        <w:t xml:space="preserve"> </w:t>
      </w:r>
      <w:r>
        <w:t xml:space="preserve">implemented in Henning’s KCK — with thanks to those authors; none</w:t>
      </w:r>
      <w:r>
        <w:t xml:space="preserve"> </w:t>
      </w:r>
      <w:r>
        <w:t xml:space="preserve">of their code ships in the application.</w:t>
      </w:r>
    </w:p>
    <w:bookmarkEnd w:id="13"/>
    <w:bookmarkStart w:id="14" w:name="a-note-on-what-this-tool-never-does"/>
    <w:p>
      <w:pPr>
        <w:pStyle w:val="Heading2"/>
      </w:pPr>
      <w:r>
        <w:t xml:space="preserve">A note on what this tool never does</w:t>
      </w:r>
    </w:p>
    <w:p>
      <w:pPr>
        <w:pStyle w:val="FirstParagraph"/>
      </w:pPr>
      <w:r>
        <w:t xml:space="preserve">Reference layers are displayed with their source labels and are</w:t>
      </w:r>
      <w:r>
        <w:t xml:space="preserve"> </w:t>
      </w:r>
      <w:r>
        <w:t xml:space="preserve">never merged into, or presented as, the ALL’s own dictionary</w:t>
      </w:r>
      <w:r>
        <w:t xml:space="preserve"> </w:t>
      </w:r>
      <w:r>
        <w:t xml:space="preserve">content. Layers marked</w:t>
      </w:r>
      <w:r>
        <w:t xml:space="preserve"> </w:t>
      </w:r>
      <w:r>
        <w:t xml:space="preserve">“local only”</w:t>
      </w:r>
      <w:r>
        <w:t xml:space="preserve"> </w:t>
      </w:r>
      <w:r>
        <w:t xml:space="preserve">above await licensing review</w:t>
      </w:r>
      <w:r>
        <w:t xml:space="preserve"> </w:t>
      </w:r>
      <w:r>
        <w:t xml:space="preserve">before any redistribution; they render only from the user’s local</w:t>
      </w:r>
      <w:r>
        <w:t xml:space="preserve"> </w:t>
      </w:r>
      <w:r>
        <w:t xml:space="preserve">data folder.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Corrections welcome: if you are the author of a component listed</w:t>
      </w:r>
      <w:r>
        <w:rPr>
          <w:i/>
          <w:iCs/>
        </w:rPr>
        <w:t xml:space="preserve"> </w:t>
      </w:r>
      <w:r>
        <w:rPr>
          <w:i/>
          <w:iCs/>
        </w:rPr>
        <w:t xml:space="preserve">here and want the attribution changed, contact the Asian Legacy</w:t>
      </w:r>
      <w:r>
        <w:rPr>
          <w:i/>
          <w:iCs/>
        </w:rPr>
        <w:t xml:space="preserve"> </w:t>
      </w:r>
      <w:r>
        <w:rPr>
          <w:i/>
          <w:iCs/>
        </w:rPr>
        <w:t xml:space="preserve">Library and it will be changed in the next release.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2026-08-11T22:22:38Z</dcterms:created>
  <dcterms:modified xsi:type="dcterms:W3CDTF">2026-08-11T22:22:38Z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