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5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what-the-workflow-will-do-next"/>
    <w:p>
      <w:pPr>
        <w:pStyle w:val="Heading2"/>
      </w:pPr>
      <w:r>
        <w:t xml:space="preserve">14.18 What the workflow will do next</w:t>
      </w:r>
    </w:p>
    <w:p>
      <w:pPr>
        <w:pStyle w:val="FirstParagraph"/>
      </w:pPr>
      <w:r>
        <w:t xml:space="preserve">Still to come: the quality-control lanes over the intake set —</w:t>
      </w:r>
      <w:r>
        <w:t xml:space="preserve"> </w:t>
      </w:r>
      <w:r>
        <w:t xml:space="preserve">title-versus-translation mismatch and colophon-aware duplicate</w:t>
      </w:r>
      <w:r>
        <w:t xml:space="preserve"> </w:t>
      </w:r>
      <w:r>
        <w:t xml:space="preserve">detection. Routing (14.17), the worksheet (14.16), and the handoff</w:t>
      </w:r>
      <w:r>
        <w:t xml:space="preserve"> </w:t>
      </w:r>
      <w:r>
        <w:t xml:space="preserve">(14.15) ship above.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0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6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6"/>
    <w:bookmarkStart w:id="137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7"/>
    <w:bookmarkStart w:id="138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8"/>
    <w:bookmarkStart w:id="139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7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7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7"/>
        </w:numPr>
      </w:pPr>
      <w:r>
        <w:t xml:space="preserve">the filing date;</w:t>
      </w:r>
    </w:p>
    <w:p>
      <w:pPr>
        <w:pStyle w:val="Compact"/>
        <w:numPr>
          <w:ilvl w:val="0"/>
          <w:numId w:val="1107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7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1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8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1"/>
    <w:bookmarkStart w:id="142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9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2"/>
    <w:bookmarkStart w:id="143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3"/>
    <w:bookmarkStart w:id="144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4"/>
    <w:bookmarkStart w:id="145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1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5"/>
    <w:bookmarkStart w:id="146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8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8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8"/>
    <w:bookmarkStart w:id="149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9"/>
    <w:bookmarkStart w:id="150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3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3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3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3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4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4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4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0"/>
    <w:bookmarkStart w:id="151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1"/>
    <w:bookmarkStart w:id="152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2"/>
    <w:bookmarkStart w:id="153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3"/>
    <w:bookmarkStart w:id="154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4"/>
    <w:bookmarkStart w:id="155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5"/>
    <w:bookmarkStart w:id="156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6"/>
    <w:bookmarkStart w:id="157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2026-08-20T00:08:13Z</dcterms:created>
  <dcterms:modified xsi:type="dcterms:W3CDTF">2026-08-20T00:08:13Z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