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The bibliography audit</w:t>
      </w:r>
    </w:p>
    <w:p>
      <w:pPr>
        <w:pStyle w:val="Compact"/>
        <w:numPr>
          <w:ilvl w:val="1"/>
          <w:numId w:val="1006"/>
        </w:numPr>
      </w:pPr>
      <w:r>
        <w:t xml:space="preserve">14.6 Suggested splits — the chop assist</w:t>
      </w:r>
    </w:p>
    <w:p>
      <w:pPr>
        <w:pStyle w:val="Compact"/>
        <w:numPr>
          <w:ilvl w:val="1"/>
          <w:numId w:val="1006"/>
        </w:numPr>
      </w:pPr>
      <w:r>
        <w:t xml:space="preserve">14.7 Compose name — the house filename grammar</w:t>
      </w:r>
    </w:p>
    <w:p>
      <w:pPr>
        <w:pStyle w:val="Compact"/>
        <w:numPr>
          <w:ilvl w:val="1"/>
          <w:numId w:val="1006"/>
        </w:numPr>
      </w:pPr>
      <w:r>
        <w:t xml:space="preserve">14.8 Generate catalog list — the ASCII inventory</w:t>
      </w:r>
    </w:p>
    <w:p>
      <w:pPr>
        <w:pStyle w:val="Compact"/>
        <w:numPr>
          <w:ilvl w:val="1"/>
          <w:numId w:val="1006"/>
        </w:numPr>
      </w:pPr>
      <w:r>
        <w:t xml:space="preserve">14.9 Translate title — the attestation workbench</w:t>
      </w:r>
    </w:p>
    <w:p>
      <w:pPr>
        <w:pStyle w:val="Compact"/>
        <w:numPr>
          <w:ilvl w:val="1"/>
          <w:numId w:val="1006"/>
        </w:numPr>
      </w:pPr>
      <w:r>
        <w:t xml:space="preserve">14.10 Compare trees — the divergence audit</w:t>
      </w:r>
    </w:p>
    <w:p>
      <w:pPr>
        <w:pStyle w:val="Compact"/>
        <w:numPr>
          <w:ilvl w:val="1"/>
          <w:numId w:val="1006"/>
        </w:numPr>
      </w:pPr>
      <w:r>
        <w:t xml:space="preserve">14.11 Tohoku numbers and colophon candidates</w:t>
      </w:r>
    </w:p>
    <w:p>
      <w:pPr>
        <w:pStyle w:val="Compact"/>
        <w:numPr>
          <w:ilvl w:val="1"/>
          <w:numId w:val="1006"/>
        </w:numPr>
      </w:pPr>
      <w:r>
        <w:t xml:space="preserve">14.12 Provenance banner and the cleanup lane</w:t>
      </w:r>
    </w:p>
    <w:p>
      <w:pPr>
        <w:pStyle w:val="Compact"/>
        <w:numPr>
          <w:ilvl w:val="1"/>
          <w:numId w:val="1006"/>
        </w:numPr>
      </w:pPr>
      <w:r>
        <w:t xml:space="preserve">14.13 Load register — the three states</w:t>
      </w:r>
    </w:p>
    <w:p>
      <w:pPr>
        <w:pStyle w:val="Compact"/>
        <w:numPr>
          <w:ilvl w:val="1"/>
          <w:numId w:val="1006"/>
        </w:numPr>
      </w:pPr>
      <w:r>
        <w:t xml:space="preserve">14.14 The change-log stamp</w:t>
      </w:r>
    </w:p>
    <w:p>
      <w:pPr>
        <w:pStyle w:val="Compact"/>
        <w:numPr>
          <w:ilvl w:val="1"/>
          <w:numId w:val="1006"/>
        </w:numPr>
      </w:pPr>
      <w:r>
        <w:t xml:space="preserve">14.15 Move to shelf — the handoff</w:t>
      </w:r>
    </w:p>
    <w:p>
      <w:pPr>
        <w:pStyle w:val="Compact"/>
        <w:numPr>
          <w:ilvl w:val="1"/>
          <w:numId w:val="1006"/>
        </w:numPr>
      </w:pPr>
      <w:r>
        <w:t xml:space="preserve">14.16 The worksheet</w:t>
      </w:r>
    </w:p>
    <w:p>
      <w:pPr>
        <w:pStyle w:val="Compact"/>
        <w:numPr>
          <w:ilvl w:val="1"/>
          <w:numId w:val="1006"/>
        </w:numPr>
      </w:pPr>
      <w:r>
        <w:t xml:space="preserve">14.17 Propose this identity — the routing</w:t>
      </w:r>
    </w:p>
    <w:p>
      <w:pPr>
        <w:pStyle w:val="Compact"/>
        <w:numPr>
          <w:ilvl w:val="1"/>
          <w:numId w:val="1006"/>
        </w:numPr>
      </w:pPr>
      <w:r>
        <w:t xml:space="preserve">14.18 QC intake — the two quality lanes</w:t>
      </w:r>
    </w:p>
    <w:p>
      <w:pPr>
        <w:pStyle w:val="Compact"/>
        <w:numPr>
          <w:ilvl w:val="1"/>
          <w:numId w:val="1006"/>
        </w:numPr>
      </w:pPr>
      <w:r>
        <w:t xml:space="preserve">14.19 Where might this belong? — shelf suggestions</w:t>
      </w:r>
    </w:p>
    <w:p>
      <w:pPr>
        <w:pStyle w:val="Compact"/>
        <w:numPr>
          <w:ilvl w:val="1"/>
          <w:numId w:val="1006"/>
        </w:numPr>
      </w:pPr>
      <w:r>
        <w:t xml:space="preserve">14.20 In-house access — sign in, stage, approve</w:t>
      </w:r>
    </w:p>
    <w:p>
      <w:pPr>
        <w:pStyle w:val="Compact"/>
        <w:numPr>
          <w:ilvl w:val="1"/>
          <w:numId w:val="1006"/>
        </w:numPr>
      </w:pPr>
      <w:r>
        <w:t xml:space="preserve">14.21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1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 and (since the 2026-08-20 merge of 84000’s official live glossary)</w:t>
            </w:r>
            <w:r>
              <w:t xml:space="preserve"> </w:t>
            </w:r>
            <w:r>
              <w:t xml:space="preserve">“attested in”</w:t>
            </w:r>
            <w:r>
              <w:t xml:space="preserve"> </w:t>
            </w:r>
            <w:r>
              <w:t xml:space="preserve">links to the published works that carry the term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Three ways in: the visible</w:t>
      </w:r>
      <w:r>
        <w:t xml:space="preserve"> </w:t>
      </w:r>
      <w:r>
        <w:rPr>
          <w:b/>
          <w:bCs/>
        </w:rPr>
        <w:t xml:space="preserve">Survey…</w:t>
      </w:r>
      <w:r>
        <w:t xml:space="preserve"> </w:t>
      </w:r>
      <w:r>
        <w:t xml:space="preserve">button in the Library’s</w:t>
      </w:r>
      <w:r>
        <w:t xml:space="preserve"> </w:t>
      </w:r>
      <w:r>
        <w:t xml:space="preserve">control row,</w:t>
      </w:r>
      <w:r>
        <w:t xml:space="preserve"> </w:t>
      </w:r>
      <w:r>
        <w:rPr>
          <w:b/>
          <w:bCs/>
        </w:rPr>
        <w:t xml:space="preserve">Maintenance… → Translator’s survey (selected</w:t>
      </w:r>
      <w:r>
        <w:rPr>
          <w:b/>
          <w:bCs/>
        </w:rPr>
        <w:t xml:space="preserve"> </w:t>
      </w:r>
      <w:r>
        <w:rPr>
          <w:b/>
          <w:bCs/>
        </w:rPr>
        <w:t xml:space="preserve">text)</w:t>
      </w:r>
      <w:r>
        <w:t xml:space="preserve">, and 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— all</w:t>
      </w:r>
      <w:r>
        <w:t xml:space="preserve"> </w:t>
      </w:r>
      <w:r>
        <w:t xml:space="preserve">three read the selected text. The survey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2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p>
      <w:pPr>
        <w:pStyle w:val="BodyText"/>
      </w:pPr>
      <w:r>
        <w:t xml:space="preserve">Below the corpus hits, the concordance shows</w:t>
      </w:r>
      <w:r>
        <w:t xml:space="preserve"> </w:t>
      </w:r>
      <w:r>
        <w:rPr>
          <w:b/>
          <w:bCs/>
        </w:rPr>
        <w:t xml:space="preserve">84000 Translation</w:t>
      </w:r>
      <w:r>
        <w:rPr>
          <w:b/>
          <w:bCs/>
        </w:rPr>
        <w:t xml:space="preserve"> </w:t>
      </w:r>
      <w:r>
        <w:rPr>
          <w:b/>
          <w:bCs/>
        </w:rPr>
        <w:t xml:space="preserve">Memory comparanda</w:t>
      </w:r>
      <w:r>
        <w:t xml:space="preserve"> </w:t>
      </w:r>
      <w:r>
        <w:t xml:space="preserve">— up to five aligned Tibetan–English segments</w:t>
      </w:r>
      <w:r>
        <w:t xml:space="preserve"> </w:t>
      </w:r>
      <w:r>
        <w:t xml:space="preserve">from 84000’s published canon translations (400,745 segments across</w:t>
      </w:r>
      <w:r>
        <w:t xml:space="preserve"> </w:t>
      </w:r>
      <w:r>
        <w:t xml:space="preserve">388 Kangyur/Tengyur texts, CC BY 4.0 per 84000’s own Terms of Use;</w:t>
      </w:r>
      <w:r>
        <w:t xml:space="preserve"> </w:t>
      </w:r>
      <w:r>
        <w:t xml:space="preserve">ingested 2026-08-20). Each carries its Tohoku number, Degé folio</w:t>
      </w:r>
      <w:r>
        <w:t xml:space="preserve"> </w:t>
      </w:r>
      <w:r>
        <w:t xml:space="preserve">where the source records it, and a link to the full translation at</w:t>
      </w:r>
      <w:r>
        <w:t xml:space="preserve"> </w:t>
      </w:r>
      <w:r>
        <w:t xml:space="preserve">84000.co. These are</w:t>
      </w:r>
      <w:r>
        <w:t xml:space="preserve"> </w:t>
      </w:r>
      <w:r>
        <w:rPr>
          <w:i/>
          <w:iCs/>
        </w:rPr>
        <w:t xml:space="preserve">published-translation comparanda, reference</w:t>
      </w:r>
      <w:r>
        <w:rPr>
          <w:i/>
          <w:iCs/>
        </w:rP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— another team’s renderings beside Geshe Michael’s, never</w:t>
      </w:r>
      <w:r>
        <w:t xml:space="preserve"> </w:t>
      </w:r>
      <w:r>
        <w:t xml:space="preserve">mixed with them. The first concordance click after an update</w:t>
      </w:r>
      <w:r>
        <w:t xml:space="preserve"> </w:t>
      </w:r>
      <w:r>
        <w:t xml:space="preserve">builds the search index (a few seconds); after that it’s instant.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few</w:t>
      </w:r>
      <w:r>
        <w:t xml:space="preserve"> </w:t>
      </w:r>
      <w:r>
        <w:t xml:space="preserve">network-touching features (see the Analysis chapter for the full</w:t>
      </w:r>
      <w:r>
        <w:t xml:space="preserve"> </w:t>
      </w:r>
      <w:r>
        <w:t xml:space="preserve">list).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Start w:id="61" w:name="Xd7c0ea1706c22788b77acab58342a3ab578cff8"/>
    <w:p>
      <w:pPr>
        <w:pStyle w:val="Heading3"/>
      </w:pPr>
      <w:r>
        <w:t xml:space="preserve">The Apparatus pane — the published bank itself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Apparatus</w:t>
      </w:r>
      <w:r>
        <w:t xml:space="preserve"> </w:t>
      </w:r>
      <w:r>
        <w:t xml:space="preserve">pane (same Translate group) is the bank the</w:t>
      </w:r>
      <w:r>
        <w:t xml:space="preserve"> </w:t>
      </w:r>
      <w:r>
        <w:t xml:space="preserve">search box reaches: all 2,234 published footnotes and the</w:t>
      </w:r>
      <w:r>
        <w:t xml:space="preserve"> </w:t>
      </w:r>
      <w:r>
        <w:t xml:space="preserve">bibliography, scrollable and searchable, official tier only —</w:t>
      </w:r>
      <w:r>
        <w:t xml:space="preserve"> </w:t>
      </w:r>
      <w:r>
        <w:t xml:space="preserve">what shipped in the released volumes, nothing pending.</w:t>
      </w:r>
    </w:p>
    <w:p>
      <w:pPr>
        <w:pStyle w:val="BodyText"/>
      </w:pPr>
      <w:r>
        <w:t xml:space="preserve">Under a footnote’s text you may see</w:t>
      </w:r>
      <w:r>
        <w:t xml:space="preserve"> </w:t>
      </w:r>
      <w:r>
        <w:rPr>
          <w:b/>
          <w:bCs/>
        </w:rPr>
        <w:t xml:space="preserve">TIBETAN NAMED IN THIS</w:t>
      </w:r>
      <w:r>
        <w:rPr>
          <w:b/>
          <w:bCs/>
        </w:rPr>
        <w:t xml:space="preserve"> </w:t>
      </w:r>
      <w:r>
        <w:rPr>
          <w:b/>
          <w:bCs/>
        </w:rPr>
        <w:t xml:space="preserve">NOTE</w:t>
      </w:r>
      <w:r>
        <w:t xml:space="preserve"> </w:t>
      </w:r>
      <w:r>
        <w:t xml:space="preserve">— the Tibetan term(s) the note is talking about, each in</w:t>
      </w:r>
      <w:r>
        <w:t xml:space="preserve"> </w:t>
      </w:r>
      <w:r>
        <w:t xml:space="preserve">Tibetan script with its wylie and the evidence it was located</w:t>
      </w:r>
      <w:r>
        <w:t xml:space="preserve"> </w:t>
      </w:r>
      <w:r>
        <w:t xml:space="preserve">from. These are</w:t>
      </w:r>
      <w:r>
        <w:t xml:space="preserve"> </w:t>
      </w:r>
      <w:r>
        <w:rPr>
          <w:b/>
          <w:bCs/>
        </w:rPr>
        <w:t xml:space="preserve">machine-located candidates, never a ruling</w:t>
      </w:r>
      <w:r>
        <w:t xml:space="preserve">:</w:t>
      </w:r>
      <w:r>
        <w:t xml:space="preserve"> </w:t>
      </w:r>
      <w:r>
        <w:t xml:space="preserve">either the note itself quotes the Tibetan in its own body (the</w:t>
      </w:r>
      <w:r>
        <w:t xml:space="preserve"> </w:t>
      </w:r>
      <w:r>
        <w:t xml:space="preserve">evidence line shows that sentence), or — added 2026-08-20 —</w:t>
      </w:r>
      <w:r>
        <w:t xml:space="preserve"> </w:t>
      </w:r>
      <w:r>
        <w:t xml:space="preserve">Geshe Michael’s own English equivalent for a dictionary entry is</w:t>
      </w:r>
      <w:r>
        <w:t xml:space="preserve"> </w:t>
      </w:r>
      <w:r>
        <w:t xml:space="preserve">exactly this footnote’s lemma (the evidence names the gloss, its</w:t>
      </w:r>
      <w:r>
        <w:t xml:space="preserve"> </w:t>
      </w:r>
      <w:r>
        <w:t xml:space="preserve">tier, and marks PROVISIONAL tiers plainly). 252 of the 2,234</w:t>
      </w:r>
      <w:r>
        <w:t xml:space="preserve"> </w:t>
      </w:r>
      <w:r>
        <w:t xml:space="preserve">notes carry such candidates today; the rest stay honestly bare</w:t>
      </w:r>
      <w:r>
        <w:t xml:space="preserve"> </w:t>
      </w:r>
      <w:r>
        <w:t xml:space="preserve">rather than guessed at.</w:t>
      </w:r>
    </w:p>
    <w:bookmarkEnd w:id="61"/>
    <w:bookmarkEnd w:id="62"/>
    <w:bookmarkStart w:id="65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3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3"/>
    <w:bookmarkStart w:id="64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4"/>
    <w:bookmarkEnd w:id="65"/>
    <w:bookmarkStart w:id="70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6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6"/>
    <w:bookmarkStart w:id="67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7"/>
    <w:bookmarkStart w:id="68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8"/>
    <w:bookmarkStart w:id="69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9"/>
    <w:bookmarkEnd w:id="70"/>
    <w:bookmarkEnd w:id="71"/>
    <w:bookmarkStart w:id="99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7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2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2"/>
    <w:bookmarkStart w:id="73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3"/>
    <w:bookmarkStart w:id="74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4"/>
    <w:bookmarkStart w:id="75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5"/>
    <w:bookmarkStart w:id="76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8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8"/>
    <w:bookmarkStart w:id="79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9"/>
    <w:bookmarkStart w:id="80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80"/>
    <w:bookmarkEnd w:id="81"/>
    <w:bookmarkStart w:id="84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2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2"/>
    <w:bookmarkStart w:id="83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7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5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5"/>
    <w:bookmarkStart w:id="86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6"/>
    <w:bookmarkEnd w:id="87"/>
    <w:bookmarkStart w:id="92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the app’s few network-touching features —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are the Draft pane’s AI back-check, the Overlay’s BDRC scan</w:t>
      </w:r>
      <w:r>
        <w:rPr>
          <w:i/>
          <w:iCs/>
        </w:rPr>
        <w:t xml:space="preserve"> </w:t>
      </w:r>
      <w:r>
        <w:rPr>
          <w:i/>
          <w:iCs/>
        </w:rPr>
        <w:t xml:space="preserve">viewer, and the Scan pane’s OCR-model downloads; everything else</w:t>
      </w:r>
      <w:r>
        <w:rPr>
          <w:i/>
          <w:iCs/>
        </w:rPr>
        <w:t xml:space="preserve"> </w:t>
      </w:r>
      <w:r>
        <w:rPr>
          <w:i/>
          <w:iCs/>
        </w:rPr>
        <w:t xml:space="preserve">runs fully offline.</w:t>
      </w:r>
    </w:p>
    <w:bookmarkStart w:id="88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8"/>
    <w:bookmarkStart w:id="89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9"/>
    <w:bookmarkStart w:id="90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90"/>
    <w:bookmarkStart w:id="91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5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3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3"/>
    <w:bookmarkStart w:id="94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8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6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6"/>
    <w:bookmarkStart w:id="97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7"/>
    <w:bookmarkEnd w:id="98"/>
    <w:bookmarkEnd w:id="99"/>
    <w:bookmarkStart w:id="100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OCR”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100"/>
    <w:bookmarkStart w:id="109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1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1"/>
    <w:bookmarkStart w:id="102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2"/>
    <w:bookmarkStart w:id="103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3"/>
    <w:bookmarkStart w:id="104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4"/>
    <w:bookmarkStart w:id="105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5"/>
    <w:bookmarkStart w:id="106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6"/>
    <w:bookmarkStart w:id="107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7"/>
    <w:bookmarkStart w:id="108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7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10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Since 2026-08-20 recognition runs in the</w:t>
      </w:r>
      <w:r>
        <w:t xml:space="preserve"> </w:t>
      </w:r>
      <w:r>
        <w:t xml:space="preserve">background: the interface stays live, the button becomes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while it works, and stopping keeps the lines already recognized,</w:t>
      </w:r>
      <w:r>
        <w:t xml:space="preserve"> </w:t>
      </w:r>
      <w:r>
        <w:t xml:space="preserve">clearly labeled as partial.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10"/>
    <w:bookmarkStart w:id="111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1"/>
    <w:bookmarkStart w:id="112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OCR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2"/>
    <w:bookmarkStart w:id="113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3"/>
    <w:bookmarkStart w:id="114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4"/>
    <w:bookmarkStart w:id="115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5"/>
    <w:bookmarkStart w:id="116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39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8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8"/>
    <w:bookmarkStart w:id="119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9"/>
    <w:bookmarkStart w:id="120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20"/>
    <w:bookmarkStart w:id="121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1"/>
    <w:bookmarkStart w:id="122" w:name="the-bibliography-audit"/>
    <w:p>
      <w:pPr>
        <w:pStyle w:val="Heading2"/>
      </w:pPr>
      <w:r>
        <w:t xml:space="preserve">14.5 The bibliography audit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Audit bibliographies…</w:t>
      </w:r>
      <w:r>
        <w:t xml:space="preserve"> </w:t>
      </w:r>
      <w:r>
        <w:t xml:space="preserve">button runs the first job Geshe</w:t>
      </w:r>
      <w:r>
        <w:t xml:space="preserve"> </w:t>
      </w:r>
      <w:r>
        <w:t xml:space="preserve">Michael assigned the cataloging class (December 22, 2025): every</w:t>
      </w:r>
      <w:r>
        <w:t xml:space="preserve"> </w:t>
      </w:r>
      <w:r>
        <w:t xml:space="preserve">ACIP number cited in the published Mixed Nuts bibliographies must</w:t>
      </w:r>
      <w:r>
        <w:t xml:space="preserve"> </w:t>
      </w:r>
      <w:r>
        <w:t xml:space="preserve">exist in the database —</w:t>
      </w:r>
      <w:r>
        <w:t xml:space="preserve"> </w:t>
      </w:r>
      <w:r>
        <w:t xml:space="preserve">“if a book made it into a bibliography, it</w:t>
      </w:r>
      <w:r>
        <w:t xml:space="preserve"> </w:t>
      </w:r>
      <w:r>
        <w:t xml:space="preserve">was important enough that it sure as hell better be in the</w:t>
      </w:r>
      <w:r>
        <w:t xml:space="preserve"> </w:t>
      </w:r>
      <w:r>
        <w:t xml:space="preserve">database.”</w:t>
      </w:r>
    </w:p>
    <w:p>
      <w:pPr>
        <w:pStyle w:val="BodyText"/>
      </w:pPr>
      <w:r>
        <w:t xml:space="preserve">The report lands in the file panel: how many distinct works the</w:t>
      </w:r>
      <w:r>
        <w:t xml:space="preserve"> </w:t>
      </w:r>
      <w:r>
        <w:t xml:space="preserve">published bibliographies cite, how many are present in the</w:t>
      </w:r>
      <w:r>
        <w:t xml:space="preserve"> </w:t>
      </w:r>
      <w:r>
        <w:t xml:space="preserve">destination tree, and — the point — the</w:t>
      </w:r>
      <w:r>
        <w:t xml:space="preserve"> </w:t>
      </w:r>
      <w:r>
        <w:rPr>
          <w:b/>
          <w:bCs/>
        </w:rPr>
        <w:t xml:space="preserve">missing ones, grouped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volume that cited them</w:t>
      </w:r>
      <w:r>
        <w:t xml:space="preserve">, each with its citation text as</w:t>
      </w:r>
      <w:r>
        <w:t xml:space="preserve"> </w:t>
      </w:r>
      <w:r>
        <w:t xml:space="preserve">evidence. Padding variants of the same number (S464, S00464) are</w:t>
      </w:r>
      <w:r>
        <w:t xml:space="preserve"> </w:t>
      </w:r>
      <w:r>
        <w:t xml:space="preserve">counted once; a malformed citation is refused rather than guessed</w:t>
      </w:r>
      <w:r>
        <w:t xml:space="preserve"> </w:t>
      </w:r>
      <w:r>
        <w:t xml:space="preserve">at.</w:t>
      </w:r>
    </w:p>
    <w:p>
      <w:pPr>
        <w:pStyle w:val="BodyText"/>
      </w:pPr>
      <w:r>
        <w:t xml:space="preserve">Two honesty clauses, printed on the report: the check runs against</w:t>
      </w:r>
      <w:r>
        <w:t xml:space="preserve"> </w:t>
      </w:r>
      <w:r>
        <w:rPr>
          <w:i/>
          <w:iCs/>
        </w:rPr>
        <w:t xml:space="preserve">this app’s installed library</w:t>
      </w:r>
      <w:r>
        <w:t xml:space="preserve">, which is a lower bound — a work</w:t>
      </w:r>
      <w:r>
        <w:t xml:space="preserve"> </w:t>
      </w:r>
      <w:r>
        <w:t xml:space="preserve">missing here may still exist in ACIP’s master tree, and presence</w:t>
      </w:r>
      <w:r>
        <w:t xml:space="preserve"> </w:t>
      </w:r>
      <w:r>
        <w:t xml:space="preserve">here is not proof of presence there. And the audit writes nothing:</w:t>
      </w:r>
      <w:r>
        <w:t xml:space="preserve"> </w:t>
      </w:r>
      <w:r>
        <w:t xml:space="preserve">missing works are candidates for the intake workflow — locate a</w:t>
      </w:r>
      <w:r>
        <w:t xml:space="preserve"> </w:t>
      </w:r>
      <w:r>
        <w:t xml:space="preserve">witness, input, propose, approve.</w:t>
      </w:r>
    </w:p>
    <w:p>
      <w:pPr>
        <w:pStyle w:val="BodyText"/>
      </w:pPr>
      <w:r>
        <w:rPr>
          <w:b/>
          <w:bCs/>
        </w:rPr>
        <w:t xml:space="preserve">The witness hunt.</w:t>
      </w:r>
      <w:r>
        <w:t xml:space="preserve"> </w:t>
      </w:r>
      <w:r>
        <w:t xml:space="preserve">Each missing work now carries its lead:</w:t>
      </w:r>
      <w:r>
        <w:t xml:space="preserve"> </w:t>
      </w:r>
      <w:r>
        <w:rPr>
          <w:b/>
          <w:bCs/>
        </w:rPr>
        <w:t xml:space="preserve">scans on BDRC</w:t>
      </w:r>
      <w:r>
        <w:t xml:space="preserve"> </w:t>
      </w:r>
      <w:r>
        <w:t xml:space="preserve">when the number maps deterministically (KD/KL/TD</w:t>
      </w:r>
      <w:r>
        <w:t xml:space="preserve"> </w:t>
      </w:r>
      <w:r>
        <w:t xml:space="preserve">are Tohoku numbers), otherwise</w:t>
      </w:r>
      <w:r>
        <w:t xml:space="preserve"> </w:t>
      </w:r>
      <w:r>
        <w:rPr>
          <w:b/>
          <w:bCs/>
        </w:rPr>
        <w:t xml:space="preserve">search BUDA</w:t>
      </w:r>
      <w:r>
        <w:t xml:space="preserve"> </w:t>
      </w:r>
      <w:r>
        <w:t xml:space="preserve">— a title search</w:t>
      </w:r>
      <w:r>
        <w:t xml:space="preserve"> </w:t>
      </w:r>
      <w:r>
        <w:t xml:space="preserve">built from the citation’s own Tibetan span (measured: 45 of the 50</w:t>
      </w:r>
      <w:r>
        <w:t xml:space="preserve"> </w:t>
      </w:r>
      <w:r>
        <w:t xml:space="preserve">missing works yield a query from their citation).</w:t>
      </w:r>
      <w:r>
        <w:t xml:space="preserve"> </w:t>
      </w:r>
      <w:r>
        <w:rPr>
          <w:b/>
          <w:bCs/>
        </w:rPr>
        <w:t xml:space="preserve">Export missing</w:t>
      </w:r>
      <w:r>
        <w:rPr>
          <w:b/>
          <w:bCs/>
        </w:rPr>
        <w:t xml:space="preserve"> </w:t>
      </w:r>
      <w:r>
        <w:rPr>
          <w:b/>
          <w:bCs/>
        </w:rPr>
        <w:t xml:space="preserve">list…</w:t>
      </w:r>
      <w:r>
        <w:t xml:space="preserve"> </w:t>
      </w:r>
      <w:r>
        <w:t xml:space="preserve">writes the field-coded handout for the hunt — number,</w:t>
      </w:r>
      <w:r>
        <w:t xml:space="preserve"> </w:t>
      </w:r>
      <w:r>
        <w:t xml:space="preserve">citing volume, citation, search link — the sheet a session hands</w:t>
      </w:r>
      <w:r>
        <w:t xml:space="preserve"> </w:t>
      </w:r>
      <w:r>
        <w:t xml:space="preserve">to whoever is asked to check.</w:t>
      </w:r>
    </w:p>
    <w:bookmarkEnd w:id="122"/>
    <w:bookmarkStart w:id="123" w:name="suggested-splits-the-chop-assist"/>
    <w:p>
      <w:pPr>
        <w:pStyle w:val="Heading2"/>
      </w:pPr>
      <w:r>
        <w:t xml:space="preserve">14.6 Suggested splits — the chop assist</w:t>
      </w:r>
    </w:p>
    <w:p>
      <w:pPr>
        <w:pStyle w:val="FirstParagraph"/>
      </w:pPr>
      <w:r>
        <w:t xml:space="preserve">The team’s single biggest manual task is</w:t>
      </w:r>
      <w:r>
        <w:t xml:space="preserve"> </w:t>
      </w:r>
      <w:r>
        <w:t xml:space="preserve">“chopping”</w:t>
      </w:r>
      <w:r>
        <w:t xml:space="preserve">: a typed volume</w:t>
      </w:r>
      <w:r>
        <w:t xml:space="preserve"> </w:t>
      </w:r>
      <w:r>
        <w:t xml:space="preserve">holds many works, and somebody must find every boundary before the</w:t>
      </w:r>
      <w:r>
        <w:t xml:space="preserve"> </w:t>
      </w:r>
      <w:r>
        <w:t xml:space="preserve">works can be named and filed. Select a file in either tree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Suggest splits…</w:t>
      </w:r>
      <w:r>
        <w:t xml:space="preserve"> </w:t>
      </w:r>
      <w:r>
        <w:t xml:space="preserve">— the file is scanned for candidate text</w:t>
      </w:r>
      <w:r>
        <w:t xml:space="preserve"> </w:t>
      </w:r>
      <w:r>
        <w:t xml:space="preserve">boundaries and the candidates land in the panel, each with its</w:t>
      </w:r>
      <w:r>
        <w:t xml:space="preserve"> </w:t>
      </w:r>
      <w:r>
        <w:t xml:space="preserve">evidence: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that found it — a canonical bilingual head (RGYA GAR</w:t>
      </w:r>
      <w:r>
        <w:t xml:space="preserve"> </w:t>
      </w:r>
      <w:r>
        <w:t xml:space="preserve">SKAD DU … BOD SKAD DU …) or a title block closing in BZHUGS SO;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folio</w:t>
      </w:r>
      <w:r>
        <w:t xml:space="preserve"> </w:t>
      </w:r>
      <w:r>
        <w:t xml:space="preserve">it sits on and how far into the file it lies;</w:t>
      </w:r>
    </w:p>
    <w:p>
      <w:pPr>
        <w:pStyle w:val="Compact"/>
        <w:numPr>
          <w:ilvl w:val="0"/>
          <w:numId w:val="1097"/>
        </w:numPr>
      </w:pPr>
      <w:r>
        <w:t xml:space="preserve">whether a</w:t>
      </w:r>
      <w:r>
        <w:t xml:space="preserve"> </w:t>
      </w:r>
      <w:r>
        <w:rPr>
          <w:b/>
          <w:bCs/>
        </w:rPr>
        <w:t xml:space="preserve">closing formula</w:t>
      </w:r>
      <w:r>
        <w:t xml:space="preserve"> </w:t>
      </w:r>
      <w:r>
        <w:t xml:space="preserve">(RDZOGS SO, DGE’O, MANGGA LAM…)</w:t>
      </w:r>
      <w:r>
        <w:t xml:space="preserve"> </w:t>
      </w:r>
      <w:r>
        <w:t xml:space="preserve">stands just before it — corroboration that one work ended there;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the new segment announces.</w:t>
      </w:r>
    </w:p>
    <w:p>
      <w:pPr>
        <w:pStyle w:val="FirstParagraph"/>
      </w:pPr>
      <w:r>
        <w:t xml:space="preserve">Two warnings implement the house rule</w:t>
      </w:r>
      <w:r>
        <w:t xml:space="preserve"> </w:t>
      </w:r>
      <w:r>
        <w:rPr>
          <w:i/>
          <w:iCs/>
        </w:rPr>
        <w:t xml:space="preserve">don’t split what the author</w:t>
      </w:r>
      <w:r>
        <w:rPr>
          <w:i/>
          <w:iCs/>
        </w:rPr>
        <w:t xml:space="preserve"> </w:t>
      </w:r>
      <w:r>
        <w:rPr>
          <w:i/>
          <w:iCs/>
        </w:rPr>
        <w:t xml:space="preserve">didn’t split</w:t>
      </w:r>
      <w:r>
        <w:t xml:space="preserve">: a boundary whose title names a chapter (LE’U) is</w:t>
      </w:r>
      <w:r>
        <w:t xml:space="preserve"> </w:t>
      </w:r>
      <w:r>
        <w:t xml:space="preserve">flagged as likely a part of one work, and boundaries very close</w:t>
      </w:r>
      <w:r>
        <w:t xml:space="preserve"> </w:t>
      </w:r>
      <w:r>
        <w:t xml:space="preserve">together are flagged as possible sections of a single text (an</w:t>
      </w:r>
      <w:r>
        <w:t xml:space="preserve"> </w:t>
      </w:r>
      <w:r>
        <w:t xml:space="preserve">empowerment’s parts, a broken head).</w:t>
      </w:r>
    </w:p>
    <w:p>
      <w:pPr>
        <w:pStyle w:val="BodyText"/>
      </w:pPr>
      <w:r>
        <w:rPr>
          <w:b/>
          <w:bCs/>
        </w:rPr>
        <w:t xml:space="preserve">Nothing is cut.</w:t>
      </w:r>
      <w:r>
        <w:t xml:space="preserve"> </w:t>
      </w:r>
      <w:r>
        <w:t xml:space="preserve">The assist only reads; the mother copy is never</w:t>
      </w:r>
      <w:r>
        <w:t xml:space="preserve"> </w:t>
      </w:r>
      <w:r>
        <w:t xml:space="preserve">touched. Measured against synthetic volumes built from this very</w:t>
      </w:r>
      <w:r>
        <w:t xml:space="preserve"> </w:t>
      </w:r>
      <w:r>
        <w:t xml:space="preserve">library (real texts concatenated, so every boundary is known):</w:t>
      </w:r>
      <w:r>
        <w:t xml:space="preserve"> </w:t>
      </w:r>
      <w:r>
        <w:t xml:space="preserve">about 93% of true boundaries are found, with about two false</w:t>
      </w:r>
      <w:r>
        <w:t xml:space="preserve"> </w:t>
      </w:r>
      <w:r>
        <w:t xml:space="preserve">candidates per volume — almost all from one kind of text where</w:t>
      </w:r>
      <w:r>
        <w:t xml:space="preserve"> </w:t>
      </w:r>
      <w:r>
        <w:t xml:space="preserve">“bzhugs so”</w:t>
      </w:r>
      <w:r>
        <w:t xml:space="preserve"> </w:t>
      </w:r>
      <w:r>
        <w:t xml:space="preserve">is ordinary narrative. Every candidate needs a human</w:t>
      </w:r>
      <w:r>
        <w:t xml:space="preserve"> </w:t>
      </w:r>
      <w:r>
        <w:t xml:space="preserve">eye; that is the design, not a shortcoming.</w:t>
      </w:r>
    </w:p>
    <w:bookmarkEnd w:id="123"/>
    <w:bookmarkStart w:id="124" w:name="compose-name-the-house-filename-grammar"/>
    <w:p>
      <w:pPr>
        <w:pStyle w:val="Heading2"/>
      </w:pPr>
      <w:r>
        <w:t xml:space="preserve">14.7 Compose name — the house filename grammar</w:t>
      </w:r>
    </w:p>
    <w:p>
      <w:pPr>
        <w:pStyle w:val="FirstParagraph"/>
      </w:pPr>
      <w:r>
        <w:t xml:space="preserve">When a text has been identified, it needs its proper name. Click</w:t>
      </w:r>
      <w:r>
        <w:t xml:space="preserve"> </w:t>
      </w:r>
      <w:r>
        <w:rPr>
          <w:b/>
          <w:bCs/>
        </w:rPr>
        <w:t xml:space="preserve">Compose name…</w:t>
      </w:r>
      <w:r>
        <w:t xml:space="preserve"> </w:t>
      </w:r>
      <w:r>
        <w:t xml:space="preserve">and fill the four fields: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Catalog number</w:t>
      </w:r>
      <w:r>
        <w:t xml:space="preserve"> </w:t>
      </w:r>
      <w:r>
        <w:t xml:space="preserve">— from the registrar. The app never mints a</w:t>
      </w:r>
      <w:r>
        <w:t xml:space="preserve"> </w:t>
      </w:r>
      <w:r>
        <w:t xml:space="preserve">number; the field is free text because issuing numbers is a</w:t>
      </w:r>
      <w:r>
        <w:t xml:space="preserve"> </w:t>
      </w:r>
      <w:r>
        <w:t xml:space="preserve">human’s act.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 title</w:t>
      </w:r>
      <w:r>
        <w:t xml:space="preserve"> </w:t>
      </w:r>
      <w:r>
        <w:t xml:space="preserve">— prefilled from the selected file’s own title</w:t>
      </w:r>
      <w:r>
        <w:t xml:space="preserve"> </w:t>
      </w:r>
      <w:r>
        <w:t xml:space="preserve">page when it has one. A trailing BZHUGS SO is stripped</w:t>
      </w:r>
      <w:r>
        <w:t xml:space="preserve"> </w:t>
      </w:r>
      <w:r>
        <w:t xml:space="preserve">automatically; it is never part of a name.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English 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Author (dates)</w:t>
      </w:r>
      <w:r>
        <w:t xml:space="preserve">.</w:t>
      </w:r>
    </w:p>
    <w:p>
      <w:pPr>
        <w:pStyle w:val="FirstParagraph"/>
      </w:pPr>
      <w:r>
        <w:t xml:space="preserve">The preview updates as you type, applying the house rules: fields</w:t>
      </w:r>
      <w:r>
        <w:t xml:space="preserve"> </w:t>
      </w:r>
      <w:r>
        <w:t xml:space="preserve">joined by underscores, capital .TXT, no colons (a single hyphen, no</w:t>
      </w:r>
      <w:r>
        <w:t xml:space="preserve"> </w:t>
      </w:r>
      <w:r>
        <w:t xml:space="preserve">spaces, stands in), IAST diacritics folded to plain ASCII.</w:t>
      </w:r>
    </w:p>
    <w:p>
      <w:pPr>
        <w:pStyle w:val="BodyText"/>
      </w:pPr>
      <w:r>
        <w:rPr>
          <w:b/>
          <w:bCs/>
        </w:rPr>
        <w:t xml:space="preserve">Over-long names.</w:t>
      </w:r>
      <w:r>
        <w:t xml:space="preserve"> </w:t>
      </w:r>
      <w:r>
        <w:t xml:space="preserve">A filename past the filesystem’s 255-character</w:t>
      </w:r>
      <w:r>
        <w:t xml:space="preserve"> </w:t>
      </w:r>
      <w:r>
        <w:t xml:space="preserve">limit is filled to the maximum and stopped</w:t>
      </w:r>
      <w:r>
        <w:t xml:space="preserve"> </w:t>
      </w:r>
      <w:r>
        <w:rPr>
          <w:i/>
          <w:iCs/>
        </w:rPr>
        <w:t xml:space="preserve">even mid-word</w:t>
      </w:r>
      <w:r>
        <w:t xml:space="preserve">,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 the cut, and a companion</w:t>
      </w:r>
      <w:r>
        <w:t xml:space="preserve"> </w:t>
      </w:r>
      <w:r>
        <w:rPr>
          <w:b/>
          <w:bCs/>
        </w:rPr>
        <w:t xml:space="preserve">NUMBER META.TXT</w:t>
      </w:r>
      <w:r>
        <w:t xml:space="preserve"> </w:t>
      </w:r>
      <w:r>
        <w:t xml:space="preserve">in the same</w:t>
      </w:r>
      <w:r>
        <w:t xml:space="preserve"> </w:t>
      </w:r>
      <w:r>
        <w:t xml:space="preserve">folder carries the rest of the name from the exact cut point — so</w:t>
      </w:r>
      <w:r>
        <w:t xml:space="preserve"> </w:t>
      </w:r>
      <w:r>
        <w:t xml:space="preserve">rejoining is pure concatenation. This is precisely the library’s</w:t>
      </w:r>
      <w:r>
        <w:t xml:space="preserve"> </w:t>
      </w:r>
      <w:r>
        <w:t xml:space="preserve">own convention: 1,457 existing</w:t>
      </w:r>
      <w:r>
        <w:t xml:space="preserve"> </w:t>
      </w:r>
      <w:r>
        <w:rPr>
          <w:rStyle w:val="VerbatimChar"/>
        </w:rPr>
        <w:t xml:space="preserve">+.TXT</w:t>
      </w:r>
      <w:r>
        <w:t xml:space="preserve"> </w:t>
      </w:r>
      <w:r>
        <w:t xml:space="preserve">names with their META</w:t>
      </w:r>
      <w:r>
        <w:t xml:space="preserve"> </w:t>
      </w:r>
      <w:r>
        <w:t xml:space="preserve">companions. (A name that fits gets no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no META — the</w:t>
      </w:r>
      <w:r>
        <w:t xml:space="preserve"> </w:t>
      </w:r>
      <w:r>
        <w:t xml:space="preserve">machinery exists only for names that are too long.)</w:t>
      </w:r>
    </w:p>
    <w:p>
      <w:pPr>
        <w:pStyle w:val="BodyText"/>
      </w:pPr>
      <w:r>
        <w:rPr>
          <w:b/>
          <w:bCs/>
        </w:rPr>
        <w:t xml:space="preserve">Rename in intake…</w:t>
      </w:r>
      <w:r>
        <w:t xml:space="preserve"> </w:t>
      </w:r>
      <w:r>
        <w:t xml:space="preserve">applies the name to the selected file — in</w:t>
      </w:r>
      <w:r>
        <w:t xml:space="preserve"> </w:t>
      </w:r>
      <w:r>
        <w:t xml:space="preserve">the intake tree only, never the destination — after a preview and a</w:t>
      </w:r>
      <w:r>
        <w:t xml:space="preserve"> </w:t>
      </w:r>
      <w:r>
        <w:t xml:space="preserve">confirmation. An existing name is refused, never overwritten, and</w:t>
      </w:r>
      <w:r>
        <w:t xml:space="preserve"> </w:t>
      </w:r>
      <w:r>
        <w:t xml:space="preserve">nothing is ever deleted.</w:t>
      </w:r>
      <w:r>
        <w:t xml:space="preserve"> </w:t>
      </w:r>
      <w:r>
        <w:rPr>
          <w:b/>
          <w:bCs/>
        </w:rPr>
        <w:t xml:space="preserve">Copy name</w:t>
      </w:r>
      <w:r>
        <w:t xml:space="preserve"> </w:t>
      </w:r>
      <w:r>
        <w:t xml:space="preserve">puts the composed name on</w:t>
      </w:r>
      <w:r>
        <w:t xml:space="preserve"> </w:t>
      </w:r>
      <w:r>
        <w:t xml:space="preserve">the clipboard for use anywhere else.</w:t>
      </w:r>
    </w:p>
    <w:bookmarkEnd w:id="124"/>
    <w:bookmarkStart w:id="125" w:name="Xc3da32da1a61a0fb7f05659e871b74bf55f1927"/>
    <w:p>
      <w:pPr>
        <w:pStyle w:val="Heading2"/>
      </w:pPr>
      <w:r>
        <w:t xml:space="preserve">14.8 Generate catalog list — the ASCII inventory</w:t>
      </w:r>
    </w:p>
    <w:p>
      <w:pPr>
        <w:pStyle w:val="FirstParagraph"/>
      </w:pPr>
      <w:r>
        <w:t xml:space="preserve">In session 3 Geshe Michael set the task plainly:</w:t>
      </w:r>
      <w:r>
        <w:t xml:space="preserve"> </w:t>
      </w:r>
      <w:r>
        <w:t xml:space="preserve">“We have the</w:t>
      </w:r>
      <w:r>
        <w:t xml:space="preserve"> </w:t>
      </w:r>
      <w:r>
        <w:t xml:space="preserve">database, we have the folders, but we don’t have a separate LIST of</w:t>
      </w:r>
      <w:r>
        <w:t xml:space="preserve"> </w:t>
      </w:r>
      <w:r>
        <w:t xml:space="preserve">what’s in the folders.”</w:t>
      </w:r>
      <w:r>
        <w:t xml:space="preserve"> </w:t>
      </w:r>
      <w:r>
        <w:rPr>
          <w:b/>
          <w:bCs/>
        </w:rPr>
        <w:t xml:space="preserve">Generate catalog list…</w:t>
      </w:r>
      <w:r>
        <w:t xml:space="preserve"> </w:t>
      </w:r>
      <w:r>
        <w:t xml:space="preserve">writes that</w:t>
      </w:r>
      <w:r>
        <w:t xml:space="preserve"> </w:t>
      </w:r>
      <w:r>
        <w:t xml:space="preserve">list, over whatever the destination tree currently holds, to a file</w:t>
      </w:r>
      <w:r>
        <w:t xml:space="preserve"> </w:t>
      </w:r>
      <w:r>
        <w:t xml:space="preserve">you choose.</w:t>
      </w:r>
    </w:p>
    <w:p>
      <w:pPr>
        <w:pStyle w:val="BodyText"/>
      </w:pPr>
      <w:r>
        <w:t xml:space="preserve">The format follows the St. Petersburg lineage — field-coded plain</w:t>
      </w:r>
      <w:r>
        <w:t xml:space="preserve"> </w:t>
      </w:r>
      <w:r>
        <w:t xml:space="preserve">text, one record per file, readable by any computer forever: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catalog number (or</w:t>
      </w:r>
      <w:r>
        <w:t xml:space="preserve"> </w:t>
      </w:r>
      <w:r>
        <w:t xml:space="preserve">“uncataloged”</w:t>
      </w:r>
      <w:r>
        <w:t xml:space="preserve">) ·</w:t>
      </w:r>
      <w:r>
        <w:t xml:space="preserve"> </w:t>
      </w:r>
      <w:r>
        <w:rPr>
          <w:rStyle w:val="VerbatimChar"/>
        </w:rPr>
        <w:t xml:space="preserve">F:</w:t>
      </w:r>
      <w:r>
        <w:t xml:space="preserve"> </w:t>
      </w:r>
      <w:r>
        <w:t xml:space="preserve">filename ·</w:t>
      </w:r>
      <w:r>
        <w:t xml:space="preserve"> </w:t>
      </w:r>
      <w:r>
        <w:rPr>
          <w:rStyle w:val="VerbatimChar"/>
        </w:rPr>
        <w:t xml:space="preserve">D:</w:t>
      </w:r>
      <w:r>
        <w:t xml:space="preserve"> </w:t>
      </w:r>
      <w:r>
        <w:t xml:space="preserve">folder ·</w:t>
      </w:r>
      <w:r>
        <w:t xml:space="preserve"> </w:t>
      </w:r>
      <w:r>
        <w:rPr>
          <w:rStyle w:val="VerbatimChar"/>
        </w:rPr>
        <w:t xml:space="preserve">T:</w:t>
      </w:r>
      <w:r>
        <w:t xml:space="preserve"> </w:t>
      </w:r>
      <w:r>
        <w:t xml:space="preserve">Tibetan title (</w:t>
      </w:r>
      <w:r>
        <w:rPr>
          <w:rStyle w:val="VerbatimChar"/>
        </w:rPr>
        <w:t xml:space="preserve">T*:</w:t>
      </w:r>
      <w:r>
        <w:t xml:space="preserve"> </w:t>
      </w:r>
      <w:r>
        <w:t xml:space="preserve">when it had to be read from the</w:t>
      </w:r>
      <w:r>
        <w:t xml:space="preserve"> </w:t>
      </w:r>
      <w:r>
        <w:t xml:space="preserve">text’s own title page — marked, never silent) ·</w:t>
      </w:r>
      <w:r>
        <w:t xml:space="preserve"> </w:t>
      </w:r>
      <w:r>
        <w:rPr>
          <w:rStyle w:val="VerbatimChar"/>
        </w:rPr>
        <w:t xml:space="preserve">E:</w:t>
      </w:r>
      <w:r>
        <w:t xml:space="preserve"> </w:t>
      </w:r>
      <w:r>
        <w:t xml:space="preserve">English title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A:</w:t>
      </w:r>
      <w:r>
        <w:t xml:space="preserve"> </w:t>
      </w:r>
      <w:r>
        <w:t xml:space="preserve">author ·</w:t>
      </w:r>
      <w:r>
        <w:t xml:space="preserve"> </w:t>
      </w:r>
      <w:r>
        <w:rPr>
          <w:rStyle w:val="VerbatimChar"/>
        </w:rPr>
        <w:t xml:space="preserve">V:</w:t>
      </w:r>
      <w:r>
        <w:t xml:space="preserve"> </w:t>
      </w:r>
      <w:r>
        <w:t xml:space="preserve">verification status ·</w:t>
      </w:r>
      <w:r>
        <w:t xml:space="preserve"> </w:t>
      </w:r>
      <w:r>
        <w:rPr>
          <w:rStyle w:val="VerbatimChar"/>
        </w:rPr>
        <w:t xml:space="preserve">P:</w:t>
      </w:r>
      <w:r>
        <w:t xml:space="preserve"> </w:t>
      </w:r>
      <w:r>
        <w:t xml:space="preserve">size, lines, and</w:t>
      </w:r>
      <w:r>
        <w:t xml:space="preserve"> </w:t>
      </w:r>
      <w:r>
        <w:t xml:space="preserve">the folio range seen in the text.</w:t>
      </w:r>
    </w:p>
    <w:p>
      <w:pPr>
        <w:pStyle w:val="BodyText"/>
      </w:pPr>
      <w:r>
        <w:t xml:space="preserve">The header states what the file is: a LIST of the folders, not the</w:t>
      </w:r>
      <w:r>
        <w:t xml:space="preserve"> </w:t>
      </w:r>
      <w:r>
        <w:t xml:space="preserve">official catalog — the catalog changes only through data releases.</w:t>
      </w:r>
    </w:p>
    <w:bookmarkEnd w:id="125"/>
    <w:bookmarkStart w:id="126" w:name="Xa8ae9900fc8f21a20f51f345a745156279254ad"/>
    <w:p>
      <w:pPr>
        <w:pStyle w:val="Heading2"/>
      </w:pPr>
      <w:r>
        <w:t xml:space="preserve">14.9 Translate title — the attestation workbench</w:t>
      </w:r>
    </w:p>
    <w:p>
      <w:pPr>
        <w:pStyle w:val="FirstParagraph"/>
      </w:pPr>
      <w:r>
        <w:t xml:space="preserve">Translating a title is the translator’s work — but the published</w:t>
      </w:r>
      <w:r>
        <w:t xml:space="preserve"> </w:t>
      </w:r>
      <w:r>
        <w:t xml:space="preserve">record already carries thousands of GMR’s own title renderings, and</w:t>
      </w:r>
      <w:r>
        <w:t xml:space="preserve"> </w:t>
      </w:r>
      <w:r>
        <w:t xml:space="preserve">consistency with them is the house standard (</w:t>
      </w:r>
      <w:r>
        <w:t xml:space="preserve">“people are going to</w:t>
      </w:r>
      <w:r>
        <w:t xml:space="preserve"> </w:t>
      </w:r>
      <w:r>
        <w:t xml:space="preserve">emulate your work”</w:t>
      </w:r>
      <w:r>
        <w:t xml:space="preserve">).</w:t>
      </w:r>
      <w:r>
        <w:t xml:space="preserve"> </w:t>
      </w:r>
      <w:r>
        <w:rPr>
          <w:b/>
          <w:bCs/>
        </w:rPr>
        <w:t xml:space="preserve">Translate title…</w:t>
      </w:r>
      <w:r>
        <w:t xml:space="preserve"> </w:t>
      </w:r>
      <w:r>
        <w:t xml:space="preserve">brings that record to the</w:t>
      </w:r>
      <w:r>
        <w:t xml:space="preserve"> </w:t>
      </w:r>
      <w:r>
        <w:t xml:space="preserve">bench.</w:t>
      </w:r>
    </w:p>
    <w:p>
      <w:pPr>
        <w:pStyle w:val="BodyText"/>
      </w:pPr>
      <w:r>
        <w:t xml:space="preserve">Type (or accept the prefilled) Tibetan title. The workbench answers</w:t>
      </w:r>
      <w:r>
        <w:t xml:space="preserve"> </w:t>
      </w:r>
      <w:r>
        <w:t xml:space="preserve">with two kinds of evidence, from ~5,500 published title pairs (the</w:t>
      </w:r>
      <w:r>
        <w:t xml:space="preserve"> </w:t>
      </w:r>
      <w:r>
        <w:t xml:space="preserve">library’s own bilingual filenames plus the catalog works table):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Whole-title matches</w:t>
      </w:r>
      <w:r>
        <w:t xml:space="preserve"> </w:t>
      </w:r>
      <w:r>
        <w:t xml:space="preserve">— titles the record already renders that</w:t>
      </w:r>
      <w:r>
        <w:t xml:space="preserve"> </w:t>
      </w:r>
      <w:r>
        <w:t xml:space="preserve">share most of this title’s syllables, each with its published</w:t>
      </w:r>
      <w:r>
        <w:t xml:space="preserve"> </w:t>
      </w:r>
      <w:r>
        <w:t xml:space="preserve">English and its source.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Attested phrases</w:t>
      </w:r>
      <w:r>
        <w:t xml:space="preserve"> </w:t>
      </w:r>
      <w:r>
        <w:t xml:space="preserve">— the title is covered greedily by its</w:t>
      </w:r>
      <w:r>
        <w:t xml:space="preserve"> </w:t>
      </w:r>
      <w:r>
        <w:t xml:space="preserve">longest phrases that appear in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published titles; each</w:t>
      </w:r>
      <w:r>
        <w:t xml:space="preserve"> </w:t>
      </w:r>
      <w:r>
        <w:t xml:space="preserve">phrase card lists up to three full Tibetan–English pairs so you</w:t>
      </w:r>
      <w:r>
        <w:t xml:space="preserve"> </w:t>
      </w:r>
      <w:r>
        <w:t xml:space="preserve">can see where the phrase landed in English. No word alignment is</w:t>
      </w:r>
      <w:r>
        <w:t xml:space="preserve"> </w:t>
      </w:r>
      <w:r>
        <w:t xml:space="preserve">invented — the card shows whole pairs, and you read them.</w:t>
      </w:r>
    </w:p>
    <w:p>
      <w:pPr>
        <w:pStyle w:val="FirstParagraph"/>
      </w:pPr>
      <w:r>
        <w:t xml:space="preserve">Syllables with no attestation are listed plainly:</w:t>
      </w:r>
      <w:r>
        <w:t xml:space="preserve"> </w:t>
      </w:r>
      <w:r>
        <w:rPr>
          <w:i/>
          <w:iCs/>
        </w:rPr>
        <w:t xml:space="preserve">they need 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translator, not the machine.</w:t>
      </w:r>
      <w:r>
        <w:t xml:space="preserve"> </w:t>
      </w:r>
      <w:r>
        <w:t xml:space="preserve">Nothing here is machine translation —</w:t>
      </w:r>
      <w:r>
        <w:t xml:space="preserve"> </w:t>
      </w:r>
      <w:r>
        <w:t xml:space="preserve">the machine attests, you compose. Measured on held-out titles:</w:t>
      </w:r>
      <w:r>
        <w:t xml:space="preserve"> </w:t>
      </w:r>
      <w:r>
        <w:t xml:space="preserve">attested phrases cover about 90% of a typical title’s syllables,</w:t>
      </w:r>
      <w:r>
        <w:t xml:space="preserve"> </w:t>
      </w:r>
      <w:r>
        <w:t xml:space="preserve">and a near whole-title match surfaces for about 62%.</w:t>
      </w:r>
    </w:p>
    <w:bookmarkEnd w:id="126"/>
    <w:bookmarkStart w:id="127" w:name="compare-trees-the-divergence-audit"/>
    <w:p>
      <w:pPr>
        <w:pStyle w:val="Heading2"/>
      </w:pPr>
      <w:r>
        <w:t xml:space="preserve">14.10 Compare trees — the divergence audit</w:t>
      </w:r>
    </w:p>
    <w:p>
      <w:pPr>
        <w:pStyle w:val="FirstParagraph"/>
      </w:pPr>
      <w:r>
        <w:t xml:space="preserve">Session 3’s live problem: Geshe Michael’s copy of the database and</w:t>
      </w:r>
      <w:r>
        <w:t xml:space="preserve"> </w:t>
      </w:r>
      <w:r>
        <w:t xml:space="preserve">the team’s master copy</w:t>
      </w:r>
      <w:r>
        <w:t xml:space="preserve"> </w:t>
      </w:r>
      <w:r>
        <w:t xml:space="preserve">“have diverged from each other probably”</w:t>
      </w:r>
      <w:r>
        <w:t xml:space="preserve"> </w:t>
      </w:r>
      <w:r>
        <w:t xml:space="preserve">—</w:t>
      </w:r>
      <w:r>
        <w:t xml:space="preserve"> </w:t>
      </w:r>
      <w:r>
        <w:t xml:space="preserve">and the task he set was to compare the two trees and list the</w:t>
      </w:r>
      <w:r>
        <w:t xml:space="preserve"> </w:t>
      </w:r>
      <w:r>
        <w:t xml:space="preserve">differences.</w:t>
      </w:r>
      <w:r>
        <w:t xml:space="preserve"> </w:t>
      </w:r>
      <w:r>
        <w:rPr>
          <w:b/>
          <w:bCs/>
        </w:rPr>
        <w:t xml:space="preserve">Compare trees…</w:t>
      </w:r>
      <w:r>
        <w:t xml:space="preserve"> </w:t>
      </w:r>
      <w:r>
        <w:t xml:space="preserve">runs that comparison between</w:t>
      </w:r>
      <w:r>
        <w:t xml:space="preserve"> </w:t>
      </w:r>
      <w:r>
        <w:t xml:space="preserve">whatever the two browsers are pointed at: left (intake) root</w:t>
      </w:r>
      <w:r>
        <w:t xml:space="preserve"> </w:t>
      </w:r>
      <w:r>
        <w:t xml:space="preserve">against right (destination) root, recursively.</w:t>
      </w:r>
    </w:p>
    <w:p>
      <w:pPr>
        <w:pStyle w:val="BodyText"/>
      </w:pPr>
      <w:r>
        <w:t xml:space="preserve">Every file is classified: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modified</w:t>
      </w:r>
      <w:r>
        <w:t xml:space="preserve"> </w:t>
      </w:r>
      <w:r>
        <w:t xml:space="preserve">(same</w:t>
      </w:r>
      <w:r>
        <w:t xml:space="preserve"> </w:t>
      </w:r>
      <w:r>
        <w:t xml:space="preserve">relative path, different content) ·</w:t>
      </w:r>
      <w:r>
        <w:t xml:space="preserve"> </w:t>
      </w:r>
      <w:r>
        <w:rPr>
          <w:b/>
          <w:bCs/>
        </w:rPr>
        <w:t xml:space="preserve">renamed / refiled</w:t>
      </w:r>
      <w:r>
        <w:t xml:space="preserve"> </w:t>
      </w:r>
      <w:r>
        <w:t xml:space="preserve">(same</w:t>
      </w:r>
      <w:r>
        <w:t xml:space="preserve"> </w:t>
      </w:r>
      <w:r>
        <w:t xml:space="preserve">content on a different path — a text moved shelves) ·</w:t>
      </w:r>
      <w:r>
        <w:t xml:space="preserve"> </w:t>
      </w:r>
      <w:r>
        <w:rPr>
          <w:b/>
          <w:bCs/>
        </w:rPr>
        <w:t xml:space="preserve">only left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only right</w:t>
      </w:r>
      <w:r>
        <w:t xml:space="preserve">. Ambiguity is never guessed at: identical twins on</w:t>
      </w:r>
      <w:r>
        <w:t xml:space="preserve"> </w:t>
      </w:r>
      <w:r>
        <w:t xml:space="preserve">one side stay listed as added/removed rather than being paired into</w:t>
      </w:r>
      <w:r>
        <w:t xml:space="preserve"> </w:t>
      </w:r>
      <w:r>
        <w:t xml:space="preserve">a rename.</w:t>
      </w:r>
    </w:p>
    <w:p>
      <w:pPr>
        <w:pStyle w:val="BodyText"/>
      </w:pPr>
      <w:r>
        <w:t xml:space="preserve">Honesty tier, printed on the report: content is matched by size</w:t>
      </w:r>
      <w:r>
        <w:t xml:space="preserve"> </w:t>
      </w:r>
      <w:r>
        <w:t xml:space="preserve">plus sampled bytes (the first and last 4 KB), not full reads — fast</w:t>
      </w:r>
      <w:r>
        <w:t xml:space="preserve"> </w:t>
      </w:r>
      <w:r>
        <w:t xml:space="preserve">enough for whole database copies (about a thousand files in a third</w:t>
      </w:r>
      <w:r>
        <w:t xml:space="preserve"> </w:t>
      </w:r>
      <w:r>
        <w:t xml:space="preserve">of a second), and the list tells a cataloger where to look; confirm</w:t>
      </w:r>
      <w:r>
        <w:t xml:space="preserve"> </w:t>
      </w:r>
      <w:r>
        <w:t xml:space="preserve">any difference by opening the files. The comparison changes</w:t>
      </w:r>
      <w:r>
        <w:t xml:space="preserve"> </w:t>
      </w:r>
      <w:r>
        <w:t xml:space="preserve">nothing.</w:t>
      </w:r>
    </w:p>
    <w:bookmarkEnd w:id="127"/>
    <w:bookmarkStart w:id="128" w:name="tohoku-numbers-and-colophon-candidates"/>
    <w:p>
      <w:pPr>
        <w:pStyle w:val="Heading2"/>
      </w:pPr>
      <w:r>
        <w:t xml:space="preserve">14.11 Tohoku numbers and colophon candidates</w:t>
      </w:r>
    </w:p>
    <w:p>
      <w:pPr>
        <w:pStyle w:val="FirstParagraph"/>
      </w:pPr>
      <w:r>
        <w:t xml:space="preserve">Two refinements ride inside the suggested-identity card:</w:t>
      </w:r>
    </w:p>
    <w:p>
      <w:pPr>
        <w:pStyle w:val="BodyText"/>
      </w:pPr>
      <w:r>
        <w:rPr>
          <w:b/>
          <w:bCs/>
        </w:rPr>
        <w:t xml:space="preserve">Tohoku first.</w:t>
      </w:r>
      <w:r>
        <w:t xml:space="preserve"> </w:t>
      </w:r>
      <w:r>
        <w:t xml:space="preserve">The house rule for numbering (session 4): check</w:t>
      </w:r>
      <w:r>
        <w:t xml:space="preserve"> </w:t>
      </w:r>
      <w:r>
        <w:t xml:space="preserve">the Tohoku catalog before issuing anything —</w:t>
      </w:r>
      <w:r>
        <w:t xml:space="preserve"> </w:t>
      </w:r>
      <w:r>
        <w:t xml:space="preserve">“if they have assigned</w:t>
      </w:r>
      <w:r>
        <w:t xml:space="preserve"> </w:t>
      </w:r>
      <w:r>
        <w:t xml:space="preserve">one, we use their catalog number.”</w:t>
      </w:r>
      <w:r>
        <w:t xml:space="preserve"> </w:t>
      </w:r>
      <w:r>
        <w:t xml:space="preserve">ACIP’s KD (Derge Kangyur) and TD</w:t>
      </w:r>
      <w:r>
        <w:t xml:space="preserve"> </w:t>
      </w:r>
      <w:r>
        <w:t xml:space="preserve">(Derge Tengyur) numbers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Tohoku numbers, so when a candidate</w:t>
      </w:r>
      <w:r>
        <w:t xml:space="preserve"> </w:t>
      </w:r>
      <w:r>
        <w:t xml:space="preserve">identification is a KD or TD work, the card says so:</w:t>
      </w:r>
      <w:r>
        <w:t xml:space="preserve"> </w:t>
      </w:r>
      <w:r>
        <w:rPr>
          <w:i/>
          <w:iCs/>
        </w:rPr>
        <w:t xml:space="preserve">Tohoku N — if</w:t>
      </w:r>
      <w:r>
        <w:rPr>
          <w:i/>
          <w:iCs/>
        </w:rPr>
        <w:t xml:space="preserve"> </w:t>
      </w:r>
      <w:r>
        <w:rPr>
          <w:i/>
          <w:iCs/>
        </w:rPr>
        <w:t xml:space="preserve">this identification is right, the Tohoku number is the number to</w:t>
      </w:r>
      <w:r>
        <w:rPr>
          <w:i/>
          <w:iCs/>
        </w:rPr>
        <w:t xml:space="preserve"> </w:t>
      </w:r>
      <w:r>
        <w:rPr>
          <w:i/>
          <w:iCs/>
        </w:rPr>
        <w:t xml:space="preserve">use; no new number needed from the registrar.</w:t>
      </w:r>
    </w:p>
    <w:p>
      <w:pPr>
        <w:pStyle w:val="BodyText"/>
      </w:pPr>
      <w:r>
        <w:rPr>
          <w:b/>
          <w:bCs/>
        </w:rPr>
        <w:t xml:space="preserve">Colophon candidates.</w:t>
      </w:r>
      <w:r>
        <w:t xml:space="preserve"> </w:t>
      </w:r>
      <w:r>
        <w:t xml:space="preserve">The author comes from the colophon — never</w:t>
      </w:r>
      <w:r>
        <w:t xml:space="preserve"> </w:t>
      </w:r>
      <w:r>
        <w:t xml:space="preserve">assumed from the collection, never copied from a catalog without</w:t>
      </w:r>
      <w:r>
        <w:t xml:space="preserve"> </w:t>
      </w:r>
      <w:r>
        <w:t xml:space="preserve">verification. For an uncataloged file the card now scans the text’s</w:t>
      </w:r>
      <w:r>
        <w:t xml:space="preserve"> </w:t>
      </w:r>
      <w:r>
        <w:t xml:space="preserve">tail for clauses carrying composition verbs (SBYAR, MDZAD, BRIS,</w:t>
      </w:r>
      <w:r>
        <w:t xml:space="preserve"> </w:t>
      </w:r>
      <w:r>
        <w:t xml:space="preserve">BRTZAMS…) or translation credits (BSGYUR, LO TSĀ BA), and lists</w:t>
      </w:r>
      <w:r>
        <w:t xml:space="preserve"> </w:t>
      </w:r>
      <w:r>
        <w:t xml:space="preserve">them nearest-the-end first, labeled for what each is evidence of.</w:t>
      </w:r>
      <w:r>
        <w:t xml:space="preserve"> </w:t>
      </w:r>
      <w:r>
        <w:t xml:space="preserve">The label on a translation credit is blunt on purpose: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is NOT the author</w:t>
      </w:r>
      <w:r>
        <w:t xml:space="preserve"> </w:t>
      </w:r>
      <w:r>
        <w:t xml:space="preserve">(session 8’s warning — read past the</w:t>
      </w:r>
      <w:r>
        <w:t xml:space="preserve"> </w:t>
      </w:r>
      <w:r>
        <w:t xml:space="preserve">translator’s line to find</w:t>
      </w:r>
      <w:r>
        <w:t xml:space="preserve"> </w:t>
      </w:r>
      <w:r>
        <w:t xml:space="preserve">“composed by”</w:t>
      </w:r>
      <w:r>
        <w:t xml:space="preserve">). Measured on the library:</w:t>
      </w:r>
      <w:r>
        <w:t xml:space="preserve"> </w:t>
      </w:r>
      <w:r>
        <w:t xml:space="preserve">about 88% of real texts yield at least one candidate clause. The</w:t>
      </w:r>
      <w:r>
        <w:t xml:space="preserve"> </w:t>
      </w:r>
      <w:r>
        <w:t xml:space="preserve">machine locates the evidence; reading it is the cataloger’s work.</w:t>
      </w:r>
    </w:p>
    <w:bookmarkEnd w:id="128"/>
    <w:bookmarkStart w:id="129" w:name="provenance-banner-and-the-cleanup-lane"/>
    <w:p>
      <w:pPr>
        <w:pStyle w:val="Heading2"/>
      </w:pPr>
      <w:r>
        <w:t xml:space="preserve">14.12 Provenance banner and the cleanup lane</w:t>
      </w:r>
    </w:p>
    <w:p>
      <w:pPr>
        <w:pStyle w:val="FirstParagraph"/>
      </w:pPr>
      <w:r>
        <w:t xml:space="preserve">Clicking a file now also reads what the file’s own mechanics say</w:t>
      </w:r>
      <w:r>
        <w:t xml:space="preserve"> </w:t>
      </w:r>
      <w:r>
        <w:t xml:space="preserve">about its witness, in a small PROVENANCE line: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folio marks</w:t>
      </w:r>
      <w:r>
        <w:t xml:space="preserve"> </w:t>
      </w:r>
      <w:r>
        <w:t xml:space="preserve">counted — a pecha input carries</w:t>
      </w:r>
      <w:r>
        <w:t xml:space="preserve"> </w:t>
      </w:r>
      <w:r>
        <w:t xml:space="preserve">@NNNA</w:t>
      </w:r>
      <w:r>
        <w:t xml:space="preserve">/</w:t>
      </w:r>
      <w:r>
        <w:t xml:space="preserve">@NNNB</w:t>
      </w:r>
      <w:r>
        <w:t xml:space="preserve"> </w:t>
      </w:r>
      <w:r>
        <w:t xml:space="preserve">sides;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western pagination</w:t>
      </w:r>
      <w:r>
        <w:t xml:space="preserve"> </w:t>
      </w:r>
      <w:r>
        <w:t xml:space="preserve">(page marks with no folio side) — the</w:t>
      </w:r>
      <w:r>
        <w:t xml:space="preserve"> </w:t>
      </w:r>
      <w:r>
        <w:t xml:space="preserve">session-8 reading applies and is printed:</w:t>
      </w:r>
      <w:r>
        <w:t xml:space="preserve"> </w:t>
      </w:r>
      <w:r>
        <w:rPr>
          <w:i/>
          <w:iCs/>
        </w:rPr>
        <w:t xml:space="preserve">a typed book: suspect</w:t>
      </w:r>
      <w:r>
        <w:t xml:space="preserve">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lowercase runs</w:t>
      </w:r>
      <w:r>
        <w:t xml:space="preserve"> </w:t>
      </w:r>
      <w:r>
        <w:t xml:space="preserve">—</w:t>
      </w:r>
      <w:r>
        <w:t xml:space="preserve"> </w:t>
      </w:r>
      <w:r>
        <w:t xml:space="preserve">“somebody typed in lowercase letters</w:t>
      </w:r>
      <w:r>
        <w:t xml:space="preserve"> </w:t>
      </w:r>
      <w:r>
        <w:t xml:space="preserve">illegally”</w:t>
      </w:r>
      <w:r>
        <w:t xml:space="preserve">; search still works, fix later;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line-slash corruption</w:t>
      </w:r>
      <w:r>
        <w:t xml:space="preserve"> </w:t>
      </w:r>
      <w:r>
        <w:t xml:space="preserve">— the case from the August 4 session: a</w:t>
      </w:r>
      <w:r>
        <w:t xml:space="preserve"> </w:t>
      </w:r>
      <w:r>
        <w:t xml:space="preserve">slash inserted between every line breaks cross-line search. The</w:t>
      </w:r>
      <w:r>
        <w:t xml:space="preserve"> </w:t>
      </w:r>
      <w:r>
        <w:t xml:space="preserve">banner counts the slashed lines and offers</w:t>
      </w:r>
      <w:r>
        <w:t xml:space="preserve"> </w:t>
      </w:r>
      <w:r>
        <w:rPr>
          <w:b/>
          <w:bCs/>
        </w:rPr>
        <w:t xml:space="preserve">write a cleaned</w:t>
      </w:r>
      <w:r>
        <w:rPr>
          <w:b/>
          <w:bCs/>
        </w:rPr>
        <w:t xml:space="preserve"> </w:t>
      </w:r>
      <w:r>
        <w:rPr>
          <w:b/>
          <w:bCs/>
        </w:rPr>
        <w:t xml:space="preserve">copy…</w:t>
      </w:r>
      <w:r>
        <w:t xml:space="preserve"> </w:t>
      </w:r>
      <w:r>
        <w:t xml:space="preserve">— the one write this lane can do. The cleaned file lands</w:t>
      </w:r>
      <w:r>
        <w:t xml:space="preserve"> </w:t>
      </w:r>
      <w:r>
        <w:rPr>
          <w:i/>
          <w:iCs/>
        </w:rPr>
        <w:t xml:space="preserve">beside</w:t>
      </w:r>
      <w:r>
        <w:t xml:space="preserve"> </w:t>
      </w:r>
      <w:r>
        <w:t xml:space="preserve">the original as</w:t>
      </w:r>
      <w:r>
        <w:t xml:space="preserve"> </w:t>
      </w:r>
      <w:r>
        <w:rPr>
          <w:rStyle w:val="VerbatimChar"/>
        </w:rPr>
        <w:t xml:space="preserve">NAME CLEANED.ext</w:t>
      </w:r>
      <w:r>
        <w:t xml:space="preserve">; the mother copy is</w:t>
      </w:r>
      <w:r>
        <w:t xml:space="preserve"> </w:t>
      </w:r>
      <w:r>
        <w:t xml:space="preserve">never touched, and an existing cleaned copy is refused rather</w:t>
      </w:r>
      <w:r>
        <w:t xml:space="preserve"> </w:t>
      </w:r>
      <w:r>
        <w:t xml:space="preserve">than overwritten. Mid-line slashes (real text) are left alone.</w:t>
      </w:r>
    </w:p>
    <w:p>
      <w:pPr>
        <w:pStyle w:val="FirstParagraph"/>
      </w:pPr>
      <w:r>
        <w:t xml:space="preserve">Measured on the installed library: 0 slash-corrupted files (the</w:t>
      </w:r>
      <w:r>
        <w:t xml:space="preserve"> </w:t>
      </w:r>
      <w:r>
        <w:t xml:space="preserve">lane exists for intake material), 0 lowercase runs, and 5</w:t>
      </w:r>
      <w:r>
        <w:t xml:space="preserve"> </w:t>
      </w:r>
      <w:r>
        <w:t xml:space="preserve">western-paginated typed books flagged — the signal works.</w:t>
      </w:r>
    </w:p>
    <w:bookmarkEnd w:id="129"/>
    <w:bookmarkStart w:id="130" w:name="load-register-the-three-states"/>
    <w:p>
      <w:pPr>
        <w:pStyle w:val="Heading2"/>
      </w:pPr>
      <w:r>
        <w:t xml:space="preserve">14.13 Load register — the three states</w:t>
      </w:r>
    </w:p>
    <w:p>
      <w:pPr>
        <w:pStyle w:val="FirstParagraph"/>
      </w:pPr>
      <w:r>
        <w:t xml:space="preserve">Catalog numbers are issued by one human — the registrar — from a</w:t>
      </w:r>
      <w:r>
        <w:t xml:space="preserve"> </w:t>
      </w:r>
      <w:r>
        <w:t xml:space="preserve">spreadsheet.</w:t>
      </w:r>
      <w:r>
        <w:t xml:space="preserve"> </w:t>
      </w:r>
      <w:r>
        <w:rPr>
          <w:b/>
          <w:bCs/>
        </w:rPr>
        <w:t xml:space="preserve">Load register…</w:t>
      </w:r>
      <w:r>
        <w:t xml:space="preserve"> </w:t>
      </w:r>
      <w:r>
        <w:t xml:space="preserve">reads that spreadsheet (CSV or TSV;</w:t>
      </w:r>
      <w:r>
        <w:t xml:space="preserve"> </w:t>
      </w:r>
      <w:r>
        <w:t xml:space="preserve">the columns are found by their header names: number/catalog, title,</w:t>
      </w:r>
      <w:r>
        <w:t xml:space="preserve"> </w:t>
      </w:r>
      <w:r>
        <w:t xml:space="preserve">folio start/end, date, initials) strictly read-only: the app never</w:t>
      </w:r>
      <w:r>
        <w:t xml:space="preserve"> </w:t>
      </w:r>
      <w:r>
        <w:t xml:space="preserve">writes the register and never mints a number.</w:t>
      </w:r>
    </w:p>
    <w:p>
      <w:pPr>
        <w:pStyle w:val="BodyText"/>
      </w:pPr>
      <w:r>
        <w:t xml:space="preserve">Loading renders the register report against the destination tree:</w:t>
      </w:r>
      <w:r>
        <w:t xml:space="preserve"> </w:t>
      </w:r>
      <w:r>
        <w:t xml:space="preserve">how many issued numbers are</w:t>
      </w:r>
      <w:r>
        <w:t xml:space="preserve"> </w:t>
      </w:r>
      <w:r>
        <w:rPr>
          <w:b/>
          <w:bCs/>
        </w:rPr>
        <w:t xml:space="preserve">cataloged</w:t>
      </w:r>
      <w:r>
        <w:t xml:space="preserve"> </w:t>
      </w:r>
      <w:r>
        <w:t xml:space="preserve">there, and — the list</w:t>
      </w:r>
      <w:r>
        <w:t xml:space="preserve"> </w:t>
      </w:r>
      <w:r>
        <w:t xml:space="preserve">that matters — the numbers</w:t>
      </w:r>
      <w:r>
        <w:t xml:space="preserve"> </w:t>
      </w:r>
      <w:r>
        <w:rPr>
          <w:b/>
          <w:bCs/>
        </w:rPr>
        <w:t xml:space="preserve">issued but absent</w:t>
      </w:r>
      <w:r>
        <w:t xml:space="preserve">, each with its</w:t>
      </w:r>
      <w:r>
        <w:t xml:space="preserve"> </w:t>
      </w:r>
      <w:r>
        <w:t xml:space="preserve">title, initials, and date from the sheet. This is the session-1</w:t>
      </w:r>
      <w:r>
        <w:t xml:space="preserve"> </w:t>
      </w:r>
      <w:r>
        <w:t xml:space="preserve">disease made visible: works can carry numbers for years without</w:t>
      </w:r>
      <w:r>
        <w:t xml:space="preserve"> </w:t>
      </w:r>
      <w:r>
        <w:t xml:space="preserve">ever entering the database.</w:t>
      </w:r>
    </w:p>
    <w:p>
      <w:pPr>
        <w:pStyle w:val="BodyText"/>
      </w:pPr>
      <w:r>
        <w:t xml:space="preserve">Once a register is loaded, clicking any file also shows its three</w:t>
      </w:r>
      <w:r>
        <w:t xml:space="preserve"> </w:t>
      </w:r>
      <w:r>
        <w:t xml:space="preserve">state lights, which are independent by design: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number issued</w:t>
      </w:r>
      <w:r>
        <w:t xml:space="preserve"> </w:t>
      </w:r>
      <w:r>
        <w:t xml:space="preserve">— the filename (or the register) says so, with</w:t>
      </w:r>
      <w:r>
        <w:t xml:space="preserve"> </w:t>
      </w:r>
      <w:r>
        <w:t xml:space="preserve">a ✓ when the register holds the row;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input exists</w:t>
      </w:r>
      <w:r>
        <w:t xml:space="preserve"> </w:t>
      </w:r>
      <w:r>
        <w:t xml:space="preserve">— the file itself;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cataloged</w:t>
      </w:r>
      <w:r>
        <w:t xml:space="preserve"> </w:t>
      </w:r>
      <w:r>
        <w:t xml:space="preserve">— the file sits inside the destination tree, or a</w:t>
      </w:r>
      <w:r>
        <w:t xml:space="preserve"> </w:t>
      </w:r>
      <w:r>
        <w:t xml:space="preserve">plain warning that it does not.</w:t>
      </w:r>
    </w:p>
    <w:bookmarkEnd w:id="130"/>
    <w:bookmarkStart w:id="131" w:name="the-change-log-stamp"/>
    <w:p>
      <w:pPr>
        <w:pStyle w:val="Heading2"/>
      </w:pPr>
      <w:r>
        <w:t xml:space="preserve">14.14 The change-log stamp</w:t>
      </w:r>
    </w:p>
    <w:p>
      <w:pPr>
        <w:pStyle w:val="FirstParagraph"/>
      </w:pPr>
      <w:r>
        <w:t xml:space="preserve">The house policy, stated on camera:</w:t>
      </w:r>
      <w:r>
        <w:t xml:space="preserve"> </w:t>
      </w:r>
      <w:r>
        <w:t xml:space="preserve">“You have to rename the copy</w:t>
      </w:r>
      <w:r>
        <w:t xml:space="preserve"> </w:t>
      </w:r>
      <w:r>
        <w:t xml:space="preserve">with your initials, so that we know you changed it on this day —</w:t>
      </w:r>
      <w:r>
        <w:t xml:space="preserve"> </w:t>
      </w:r>
      <w:r>
        <w:t xml:space="preserve">and to blame you if something went wrong. That is our policy.”</w:t>
      </w:r>
    </w:p>
    <w:p>
      <w:pPr>
        <w:pStyle w:val="BodyText"/>
      </w:pPr>
      <w:r>
        <w:t xml:space="preserve">After a successful</w:t>
      </w:r>
      <w:r>
        <w:t xml:space="preserve"> </w:t>
      </w:r>
      <w:r>
        <w:rPr>
          <w:b/>
          <w:bCs/>
        </w:rPr>
        <w:t xml:space="preserve">Rename in intake…</w:t>
      </w:r>
      <w:r>
        <w:t xml:space="preserve">, the app offers to stamp</w:t>
      </w:r>
      <w:r>
        <w:t xml:space="preserve"> </w:t>
      </w:r>
      <w:r>
        <w:t xml:space="preserve">the file’s folder with today’s date and your initials (taken from</w:t>
      </w:r>
      <w:r>
        <w:t xml:space="preserve"> </w:t>
      </w:r>
      <w:r>
        <w:t xml:space="preserve">Settings → your name): the folder becomes</w:t>
      </w:r>
      <w:r>
        <w:t xml:space="preserve"> </w:t>
      </w:r>
      <w:r>
        <w:rPr>
          <w:rStyle w:val="VerbatimChar"/>
        </w:rPr>
        <w:t xml:space="preserve">Name - updated 2026-08-19 ADA</w:t>
      </w:r>
      <w:r>
        <w:t xml:space="preserve">. Re-stamping replaces the previous stamp — the full</w:t>
      </w:r>
      <w:r>
        <w:t xml:space="preserve"> </w:t>
      </w:r>
      <w:r>
        <w:t xml:space="preserve">history lives in the shared storage’s version history; the name</w:t>
      </w:r>
      <w:r>
        <w:t xml:space="preserve"> </w:t>
      </w:r>
      <w:r>
        <w:t xml:space="preserve">carries the latest change. A collision is refused, never forced.</w:t>
      </w:r>
    </w:p>
    <w:p>
      <w:pPr>
        <w:pStyle w:val="BodyText"/>
      </w:pPr>
      <w:r>
        <w:t xml:space="preserve">Reading works everywhere: clicking any file whose folder (or an</w:t>
      </w:r>
      <w:r>
        <w:t xml:space="preserve"> </w:t>
      </w:r>
      <w:r>
        <w:t xml:space="preserve">ancestor up to six levels) carries a stamp — including the older</w:t>
      </w:r>
      <w:r>
        <w:t xml:space="preserve"> </w:t>
      </w:r>
      <w:r>
        <w:t xml:space="preserve">hand-made styles — shows</w:t>
      </w:r>
      <w:r>
        <w:t xml:space="preserve"> </w:t>
      </w:r>
      <w:r>
        <w:rPr>
          <w:i/>
          <w:iCs/>
        </w:rPr>
        <w:t xml:space="preserve">last changed DATE by INITIALS</w:t>
      </w:r>
      <w:r>
        <w:t xml:space="preserve"> </w:t>
      </w:r>
      <w:r>
        <w:t xml:space="preserve">in the</w:t>
      </w:r>
      <w:r>
        <w:t xml:space="preserve"> </w:t>
      </w:r>
      <w:r>
        <w:t xml:space="preserve">panel.</w:t>
      </w:r>
    </w:p>
    <w:bookmarkEnd w:id="131"/>
    <w:bookmarkStart w:id="132" w:name="move-to-shelf-the-handoff"/>
    <w:p>
      <w:pPr>
        <w:pStyle w:val="Heading2"/>
      </w:pPr>
      <w:r>
        <w:t xml:space="preserve">14.15 Move to shelf — the handoff</w:t>
      </w:r>
    </w:p>
    <w:p>
      <w:pPr>
        <w:pStyle w:val="FirstParagraph"/>
      </w:pPr>
      <w:r>
        <w:t xml:space="preserve">The two browsers are the two ends of one move: intake material,</w:t>
      </w:r>
      <w:r>
        <w:t xml:space="preserve"> </w:t>
      </w:r>
      <w:r>
        <w:t xml:space="preserve">once identified and properly named, goes onto its shelf in the</w:t>
      </w:r>
      <w:r>
        <w:t xml:space="preserve"> </w:t>
      </w:r>
      <w:r>
        <w:t xml:space="preserve">destination tree. Select the file on the left, click the target</w:t>
      </w:r>
      <w:r>
        <w:t xml:space="preserve"> </w:t>
      </w:r>
      <w:r>
        <w:t xml:space="preserve">shelf (folder) on the right, then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.</w:t>
      </w:r>
    </w:p>
    <w:p>
      <w:pPr>
        <w:pStyle w:val="BodyText"/>
      </w:pPr>
      <w:r>
        <w:t xml:space="preserve">Since the in-house access layer (14.20), what this button does</w:t>
      </w:r>
      <w:r>
        <w:t xml:space="preserve"> </w:t>
      </w:r>
      <w:r>
        <w:t xml:space="preserve">depends on your role: an</w:t>
      </w:r>
      <w:r>
        <w:t xml:space="preserve"> </w:t>
      </w:r>
      <w:r>
        <w:rPr>
          <w:b/>
          <w:bCs/>
        </w:rPr>
        <w:t xml:space="preserve">approver</w:t>
      </w:r>
      <w:r>
        <w:t xml:space="preserve"> </w:t>
      </w:r>
      <w:r>
        <w:t xml:space="preserve">moves directly, as described</w:t>
      </w:r>
      <w:r>
        <w:t xml:space="preserve"> </w:t>
      </w:r>
      <w:r>
        <w:t xml:space="preserve">here; a</w:t>
      </w:r>
      <w:r>
        <w:t xml:space="preserve"> </w:t>
      </w:r>
      <w:r>
        <w:rPr>
          <w:b/>
          <w:bCs/>
        </w:rPr>
        <w:t xml:space="preserve">cataloger’s</w:t>
      </w:r>
      <w:r>
        <w:t xml:space="preserve"> </w:t>
      </w:r>
      <w:r>
        <w:t xml:space="preserve">click stages the placement for approval</w:t>
      </w:r>
      <w:r>
        <w:t xml:space="preserve"> </w:t>
      </w:r>
      <w:r>
        <w:t xml:space="preserve">instead — nothing touches the official shelves until Geshe Michael</w:t>
      </w:r>
      <w:r>
        <w:t xml:space="preserve"> </w:t>
      </w:r>
      <w:r>
        <w:t xml:space="preserve">rules.</w:t>
      </w:r>
    </w:p>
    <w:p>
      <w:pPr>
        <w:pStyle w:val="BodyText"/>
      </w:pPr>
      <w:r>
        <w:t xml:space="preserve">The move follows the house rules to the letter: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Move, not copy</w:t>
      </w:r>
      <w:r>
        <w:t xml:space="preserve"> </w:t>
      </w:r>
      <w:r>
        <w:t xml:space="preserve">— after the handoff the file lives in exactly</w:t>
      </w:r>
      <w:r>
        <w:t xml:space="preserve"> </w:t>
      </w:r>
      <w:r>
        <w:t xml:space="preserve">one place;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META companion travels with its file</w:t>
      </w:r>
      <w:r>
        <w:t xml:space="preserve"> </w:t>
      </w:r>
      <w:r>
        <w:t xml:space="preserve">— the pair is never</w:t>
      </w:r>
      <w:r>
        <w:t xml:space="preserve"> </w:t>
      </w:r>
      <w:r>
        <w:t xml:space="preserve">split (if the companion cannot move, the whole move undoes);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is refused</w:t>
      </w:r>
      <w:r>
        <w:t xml:space="preserve">, never overwritten; nothing is ever</w:t>
      </w:r>
      <w:r>
        <w:t xml:space="preserve"> </w:t>
      </w:r>
      <w:r>
        <w:t xml:space="preserve">deleted;</w:t>
      </w:r>
    </w:p>
    <w:p>
      <w:pPr>
        <w:pStyle w:val="Compact"/>
        <w:numPr>
          <w:ilvl w:val="0"/>
          <w:numId w:val="1102"/>
        </w:numPr>
      </w:pPr>
      <w:r>
        <w:t xml:space="preserve">a file whose name carries</w:t>
      </w:r>
      <w:r>
        <w:t xml:space="preserve"> </w:t>
      </w:r>
      <w:r>
        <w:rPr>
          <w:b/>
          <w:bCs/>
        </w:rPr>
        <w:t xml:space="preserve">no catalog identity is refused</w:t>
      </w:r>
      <w:r>
        <w:t xml:space="preserve"> </w:t>
      </w:r>
      <w:r>
        <w:t xml:space="preserve">with</w:t>
      </w:r>
      <w:r>
        <w:t xml:space="preserve"> </w:t>
      </w:r>
      <w:r>
        <w:t xml:space="preserve">the workflow’s order spelled out: identify, name (Compose</w:t>
      </w:r>
      <w:r>
        <w:t xml:space="preserve"> </w:t>
      </w:r>
      <w:r>
        <w:t xml:space="preserve">name…), then shelve;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shelf choice is the cataloger’s</w:t>
      </w:r>
      <w:r>
        <w:t xml:space="preserve"> </w:t>
      </w:r>
      <w:r>
        <w:t xml:space="preserve">— the confirmation quotes</w:t>
      </w:r>
      <w:r>
        <w:t xml:space="preserve"> </w:t>
      </w:r>
      <w:r>
        <w:t xml:space="preserve">the warning that drives the whole design:</w:t>
      </w:r>
      <w:r>
        <w:t xml:space="preserve"> </w:t>
      </w:r>
      <w:r>
        <w:rPr>
          <w:i/>
          <w:iCs/>
        </w:rPr>
        <w:t xml:space="preserve">“a book on the wrong</w:t>
      </w:r>
      <w:r>
        <w:rPr>
          <w:i/>
          <w:iCs/>
        </w:rPr>
        <w:t xml:space="preserve"> </w:t>
      </w:r>
      <w:r>
        <w:rPr>
          <w:i/>
          <w:iCs/>
        </w:rPr>
        <w:t xml:space="preserve">shelf is lost forever”</w:t>
      </w:r>
      <w:r>
        <w:t xml:space="preserve">;</w:t>
      </w:r>
    </w:p>
    <w:p>
      <w:pPr>
        <w:pStyle w:val="Compact"/>
        <w:numPr>
          <w:ilvl w:val="0"/>
          <w:numId w:val="1102"/>
        </w:numPr>
      </w:pPr>
      <w:r>
        <w:t xml:space="preserve">after the move, the app offers the</w:t>
      </w:r>
      <w:r>
        <w:t xml:space="preserve"> </w:t>
      </w:r>
      <w:r>
        <w:rPr>
          <w:b/>
          <w:bCs/>
        </w:rPr>
        <w:t xml:space="preserve">change-log stamp</w:t>
      </w:r>
      <w:r>
        <w:t xml:space="preserve"> </w:t>
      </w:r>
      <w:r>
        <w:t xml:space="preserve">on the</w:t>
      </w:r>
      <w:r>
        <w:t xml:space="preserve"> </w:t>
      </w:r>
      <w:r>
        <w:t xml:space="preserve">shelf folder, per the policy.</w:t>
      </w:r>
    </w:p>
    <w:p>
      <w:pPr>
        <w:pStyle w:val="FirstParagraph"/>
      </w:pPr>
      <w:r>
        <w:t xml:space="preserve">Both censuses refresh after a move — the intake count falls, the</w:t>
      </w:r>
      <w:r>
        <w:t xml:space="preserve"> </w:t>
      </w:r>
      <w:r>
        <w:t xml:space="preserve">destination count rises, and the work is visibly further along.</w:t>
      </w:r>
    </w:p>
    <w:bookmarkEnd w:id="132"/>
    <w:bookmarkStart w:id="133" w:name="the-worksheet"/>
    <w:p>
      <w:pPr>
        <w:pStyle w:val="Heading2"/>
      </w:pPr>
      <w:r>
        <w:t xml:space="preserve">14.16 The worksheet</w:t>
      </w:r>
    </w:p>
    <w:p>
      <w:pPr>
        <w:pStyle w:val="FirstParagraph"/>
      </w:pPr>
      <w:r>
        <w:rPr>
          <w:b/>
          <w:bCs/>
        </w:rPr>
        <w:t xml:space="preserve">Worksheet…</w:t>
      </w:r>
      <w:r>
        <w:t xml:space="preserve"> </w:t>
      </w:r>
      <w:r>
        <w:t xml:space="preserve">opens the cataloging worksheet for the selected file</w:t>
      </w:r>
      <w:r>
        <w:t xml:space="preserve"> </w:t>
      </w:r>
      <w:r>
        <w:t xml:space="preserve">— built on the team’s own live spreadsheet schema, all 52 columns</w:t>
      </w:r>
      <w:r>
        <w:t xml:space="preserve"> </w:t>
      </w:r>
      <w:r>
        <w:t xml:space="preserve">in the sheet’s own order, from</w:t>
      </w:r>
      <w:r>
        <w:t xml:space="preserve"> </w:t>
      </w:r>
      <w:r>
        <w:rPr>
          <w:i/>
          <w:iCs/>
        </w:rPr>
        <w:t xml:space="preserve">ACIP Number</w:t>
      </w:r>
      <w:r>
        <w:t xml:space="preserve"> </w:t>
      </w:r>
      <w:r>
        <w:t xml:space="preserve">through the titles in</w:t>
      </w:r>
      <w:r>
        <w:t xml:space="preserve"> </w:t>
      </w:r>
      <w:r>
        <w:t xml:space="preserve">three languages, authorship, the BDRC identifiers, publisher,</w:t>
      </w:r>
      <w:r>
        <w:t xml:space="preserve"> </w:t>
      </w:r>
      <w:r>
        <w:rPr>
          <w:b/>
          <w:bCs/>
        </w:rPr>
        <w:t xml:space="preserve">colophon</w:t>
      </w:r>
      <w:r>
        <w:t xml:space="preserve">, physical dimensions, condition, down to</w:t>
      </w:r>
      <w:r>
        <w:t xml:space="preserve"> </w:t>
      </w:r>
      <w:r>
        <w:rPr>
          <w:i/>
          <w:iCs/>
        </w:rPr>
        <w:t xml:space="preserve">ISBN</w:t>
      </w:r>
      <w:r>
        <w:rPr>
          <w:i/>
          <w:iCs/>
        </w:rPr>
        <w:t xml:space="preserve"> </w:t>
      </w:r>
      <w:r>
        <w:rPr>
          <w:i/>
          <w:iCs/>
        </w:rPr>
        <w:t xml:space="preserve">number</w:t>
      </w:r>
      <w:r>
        <w:t xml:space="preserve">. Nothing was guessed: the column list is verbatim from the</w:t>
      </w:r>
      <w:r>
        <w:t xml:space="preserve"> </w:t>
      </w:r>
      <w:r>
        <w:t xml:space="preserve">live sheet.</w:t>
      </w:r>
    </w:p>
    <w:p>
      <w:pPr>
        <w:pStyle w:val="BodyText"/>
      </w:pPr>
      <w:r>
        <w:t xml:space="preserve">The form arrives</w:t>
      </w:r>
      <w:r>
        <w:t xml:space="preserve"> </w:t>
      </w:r>
      <w:r>
        <w:rPr>
          <w:b/>
          <w:bCs/>
        </w:rPr>
        <w:t xml:space="preserve">prefilled from what the app already knows</w:t>
      </w:r>
      <w:r>
        <w:t xml:space="preserve"> </w:t>
      </w:r>
      <w:r>
        <w:t xml:space="preserve">—</w:t>
      </w:r>
      <w:r>
        <w:t xml:space="preserve"> </w:t>
      </w:r>
      <w:r>
        <w:t xml:space="preserve">the number and language from the filename, the Tohoku number for</w:t>
      </w:r>
      <w:r>
        <w:t xml:space="preserve"> </w:t>
      </w:r>
      <w:r>
        <w:t xml:space="preserve">KD/TD works, the title-page title and Sanskrit head from the text</w:t>
      </w:r>
      <w:r>
        <w:t xml:space="preserve"> </w:t>
      </w:r>
      <w:r>
        <w:t xml:space="preserve">itself, the first composition-colophon candidate, the byte count</w:t>
      </w:r>
      <w:r>
        <w:t xml:space="preserve"> </w:t>
      </w:r>
      <w:r>
        <w:rPr>
          <w:b/>
          <w:bCs/>
        </w:rPr>
        <w:t xml:space="preserve">with its MD5 checksum</w:t>
      </w:r>
      <w:r>
        <w:t xml:space="preserve"> </w:t>
      </w:r>
      <w:r>
        <w:t xml:space="preserve">(the column asks for both), the</w:t>
      </w:r>
      <w:r>
        <w:t xml:space="preserve"> </w:t>
      </w:r>
      <w:r>
        <w:rPr>
          <w:b/>
          <w:bCs/>
        </w:rPr>
        <w:t xml:space="preserve">folio</w:t>
      </w:r>
      <w:r>
        <w:rPr>
          <w:b/>
          <w:bCs/>
        </w:rP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read from the text’s own @-marks, and the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permalink</w:t>
      </w:r>
      <w:r>
        <w:t xml:space="preserve"> </w:t>
      </w:r>
      <w:r>
        <w:t xml:space="preserve">where the number maps deterministically (KD/KL/TD).</w:t>
      </w:r>
      <w:r>
        <w:t xml:space="preserve"> </w:t>
      </w:r>
      <w:r>
        <w:t xml:space="preserve">Every prefill is a machine suggestion to verify; everything is</w:t>
      </w:r>
      <w:r>
        <w:t xml:space="preserve"> </w:t>
      </w:r>
      <w:r>
        <w:t xml:space="preserve">editable, and anything you saved before outranks the machine’s</w:t>
      </w:r>
      <w:r>
        <w:t xml:space="preserve"> </w:t>
      </w:r>
      <w:r>
        <w:t xml:space="preserve">suggestions on reopen.</w:t>
      </w:r>
    </w:p>
    <w:p>
      <w:pPr>
        <w:pStyle w:val="BodyText"/>
      </w:pPr>
      <w:r>
        <w:rPr>
          <w:b/>
          <w:bCs/>
        </w:rPr>
        <w:t xml:space="preserve">Save worksheet</w:t>
      </w:r>
      <w:r>
        <w:t xml:space="preserve"> </w:t>
      </w:r>
      <w:r>
        <w:t xml:space="preserve">writes a sidecar (</w:t>
      </w:r>
      <w:r>
        <w:rPr>
          <w:rStyle w:val="VerbatimChar"/>
        </w:rPr>
        <w:t xml:space="preserve">&lt;name&gt;.worksheet.tsv</w:t>
      </w:r>
      <w:r>
        <w:t xml:space="preserve">) beside</w:t>
      </w:r>
      <w:r>
        <w:t xml:space="preserve"> </w:t>
      </w:r>
      <w:r>
        <w:t xml:space="preserve">the intake file — working data, never inside the destination tree,</w:t>
      </w:r>
      <w:r>
        <w:t xml:space="preserve"> </w:t>
      </w:r>
      <w:r>
        <w:t xml:space="preserve">never the official catalog.</w:t>
      </w:r>
      <w:r>
        <w:t xml:space="preserve"> </w:t>
      </w:r>
      <w:r>
        <w:rPr>
          <w:b/>
          <w:bCs/>
        </w:rPr>
        <w:t xml:space="preserve">Export row (CSV)…</w:t>
      </w:r>
      <w:r>
        <w:t xml:space="preserve"> </w:t>
      </w:r>
      <w:r>
        <w:t xml:space="preserve">emits one line in</w:t>
      </w:r>
      <w:r>
        <w:t xml:space="preserve"> </w:t>
      </w:r>
      <w:r>
        <w:t xml:space="preserve">the sheet’s own column order, ready to paste into the live</w:t>
      </w:r>
      <w:r>
        <w:t xml:space="preserve"> </w:t>
      </w:r>
      <w:r>
        <w:t xml:space="preserve">spreadsheet — which remains the team’s master.</w:t>
      </w:r>
    </w:p>
    <w:bookmarkEnd w:id="133"/>
    <w:bookmarkStart w:id="134" w:name="propose-this-identity-the-routing"/>
    <w:p>
      <w:pPr>
        <w:pStyle w:val="Heading2"/>
      </w:pPr>
      <w:r>
        <w:t xml:space="preserve">14.17 Propose this identity — the routing</w:t>
      </w:r>
    </w:p>
    <w:p>
      <w:pPr>
        <w:pStyle w:val="FirstParagraph"/>
      </w:pPr>
      <w:r>
        <w:t xml:space="preserve">The suggested-identity card now ends with</w:t>
      </w:r>
      <w:r>
        <w:t xml:space="preserve"> </w:t>
      </w:r>
      <w:r>
        <w:rPr>
          <w:b/>
          <w:bCs/>
        </w:rPr>
        <w:t xml:space="preserve">Propose this</w:t>
      </w:r>
      <w:r>
        <w:rPr>
          <w:b/>
          <w:bCs/>
        </w:rPr>
        <w:t xml:space="preserve"> </w:t>
      </w:r>
      <w:r>
        <w:rPr>
          <w:b/>
          <w:bCs/>
        </w:rPr>
        <w:t xml:space="preserve">identity…</w:t>
      </w:r>
      <w:r>
        <w:t xml:space="preserve"> </w:t>
      </w:r>
      <w:r>
        <w:t xml:space="preserve">— the bridge from the machine’s suggestion to the</w:t>
      </w:r>
      <w:r>
        <w:t xml:space="preserve"> </w:t>
      </w:r>
      <w:r>
        <w:t xml:space="preserve">team’s ordinary decision channel.</w:t>
      </w:r>
    </w:p>
    <w:p>
      <w:pPr>
        <w:pStyle w:val="BodyText"/>
      </w:pPr>
      <w:r>
        <w:t xml:space="preserve">Clicking it files a proposal of kind</w:t>
      </w:r>
      <w:r>
        <w:t xml:space="preserve"> </w:t>
      </w:r>
      <w:r>
        <w:rPr>
          <w:b/>
          <w:bCs/>
        </w:rPr>
        <w:t xml:space="preserve">catalog identity</w:t>
      </w:r>
      <w:r>
        <w:t xml:space="preserve"> </w:t>
      </w:r>
      <w:r>
        <w:t xml:space="preserve">in the</w:t>
      </w:r>
      <w:r>
        <w:t xml:space="preserve"> </w:t>
      </w:r>
      <w:r>
        <w:t xml:space="preserve">shared queue (the same folder-backed channel as every other</w:t>
      </w:r>
      <w:r>
        <w:t xml:space="preserve"> </w:t>
      </w:r>
      <w:r>
        <w:t xml:space="preserve">proposal — Chapter 15), carrying everything a ruler needs: the</w:t>
      </w:r>
      <w:r>
        <w:t xml:space="preserve"> </w:t>
      </w:r>
      <w:r>
        <w:t xml:space="preserve">title read from the text and the rule that read it, the Sanskrit</w:t>
      </w:r>
      <w:r>
        <w:t xml:space="preserve"> </w:t>
      </w:r>
      <w:r>
        <w:t xml:space="preserve">side of the head, the ranked candidates with their scores, and —</w:t>
      </w:r>
      <w:r>
        <w:t xml:space="preserve"> </w:t>
      </w:r>
      <w:r>
        <w:t xml:space="preserve">if you filled one — a snapshot of the file’s worksheet sidecar.</w:t>
      </w:r>
      <w:r>
        <w:t xml:space="preserve"> </w:t>
      </w:r>
      <w:r>
        <w:t xml:space="preserve">Your name rides on it as provenance (set it in Settings first).</w:t>
      </w:r>
    </w:p>
    <w:p>
      <w:pPr>
        <w:pStyle w:val="BodyText"/>
      </w:pPr>
      <w:r>
        <w:t xml:space="preserve">The authority rules on it in Community → Approval, where a</w:t>
      </w:r>
      <w:r>
        <w:t xml:space="preserve"> </w:t>
      </w:r>
      <w:r>
        <w:rPr>
          <w:b/>
          <w:bCs/>
        </w:rPr>
        <w:t xml:space="preserve">Catalog identities</w:t>
      </w:r>
      <w:r>
        <w:t xml:space="preserve"> </w:t>
      </w:r>
      <w:r>
        <w:t xml:space="preserve">filter now sits beside the others. An</w:t>
      </w:r>
      <w:r>
        <w:t xml:space="preserve"> </w:t>
      </w:r>
      <w:r>
        <w:t xml:space="preserve">approved identity leaves through the same</w:t>
      </w:r>
      <w:r>
        <w:t xml:space="preserve"> </w:t>
      </w:r>
      <w:r>
        <w:rPr>
          <w:b/>
          <w:bCs/>
        </w:rPr>
        <w:t xml:space="preserve">Export approved</w:t>
      </w:r>
      <w:r>
        <w:rPr>
          <w:b/>
          <w:bCs/>
        </w:rPr>
        <w:t xml:space="preserve"> </w:t>
      </w:r>
      <w:r>
        <w:rPr>
          <w:b/>
          <w:bCs/>
        </w:rPr>
        <w:t xml:space="preserve">candidates</w:t>
      </w:r>
      <w:r>
        <w:t xml:space="preserve"> </w:t>
      </w:r>
      <w:r>
        <w:t xml:space="preserve">file as the dictionary material — a candidates</w:t>
      </w:r>
      <w:r>
        <w:t xml:space="preserve"> </w:t>
      </w:r>
      <w:r>
        <w:t xml:space="preserve">package for the data project. The boundary holds at every step:</w:t>
      </w:r>
      <w:r>
        <w:t xml:space="preserve"> </w:t>
      </w:r>
      <w:r>
        <w:t xml:space="preserve">the app never writes the catalog, and catalog numbers remain the</w:t>
      </w:r>
      <w:r>
        <w:t xml:space="preserve"> </w:t>
      </w:r>
      <w:r>
        <w:t xml:space="preserve">registrar’s to issue. A file with no title page is refused with a</w:t>
      </w:r>
      <w:r>
        <w:t xml:space="preserve"> </w:t>
      </w:r>
      <w:r>
        <w:t xml:space="preserve">real answer: there is no machine identity to propose.</w:t>
      </w:r>
    </w:p>
    <w:bookmarkEnd w:id="134"/>
    <w:bookmarkStart w:id="135" w:name="qc-intake-the-two-quality-lanes"/>
    <w:p>
      <w:pPr>
        <w:pStyle w:val="Heading2"/>
      </w:pPr>
      <w:r>
        <w:t xml:space="preserve">14.18 QC intake — the two quality lanes</w:t>
      </w:r>
    </w:p>
    <w:p>
      <w:pPr>
        <w:pStyle w:val="FirstParagraph"/>
      </w:pPr>
      <w:r>
        <w:rPr>
          <w:b/>
          <w:bCs/>
        </w:rPr>
        <w:t xml:space="preserve">QC intake…</w:t>
      </w:r>
      <w:r>
        <w:t xml:space="preserve"> </w:t>
      </w:r>
      <w:r>
        <w:t xml:space="preserve">runs two checks over the whole intake tree, both</w:t>
      </w:r>
      <w:r>
        <w:t xml:space="preserve"> </w:t>
      </w:r>
      <w:r>
        <w:t xml:space="preserve">suggestion-only — every flag is a question with its evidence, never</w:t>
      </w:r>
      <w:r>
        <w:t xml:space="preserve"> </w:t>
      </w:r>
      <w:r>
        <w:t xml:space="preserve">a verdict, and nothing is changed: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Title vs translation.</w:t>
      </w:r>
      <w:r>
        <w:t xml:space="preserve"> </w:t>
      </w:r>
      <w:r>
        <w:t xml:space="preserve">The copy-paste disease: a filename</w:t>
      </w:r>
      <w:r>
        <w:t xml:space="preserve"> </w:t>
      </w:r>
      <w:r>
        <w:t xml:space="preserve">whose English half belongs 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text. A file is</w:t>
      </w:r>
      <w:r>
        <w:t xml:space="preserve"> </w:t>
      </w:r>
      <w:r>
        <w:t xml:space="preserve">flagged when its English matches another work’s published English</w:t>
      </w:r>
      <w:r>
        <w:t xml:space="preserve"> </w:t>
      </w:r>
      <w:r>
        <w:t xml:space="preserve">almost entirely while the two Tibetan titles barely share a</w:t>
      </w:r>
      <w:r>
        <w:t xml:space="preserve"> </w:t>
      </w:r>
      <w:r>
        <w:t xml:space="preserve">syllable — the report shows both works and both percentages and</w:t>
      </w:r>
      <w:r>
        <w:t xml:space="preserve"> </w:t>
      </w:r>
      <w:r>
        <w:t xml:space="preserve">asks the question: is the English half from the wrong text?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Shared titles, told apart by colophon.</w:t>
      </w:r>
      <w:r>
        <w:t xml:space="preserve"> </w:t>
      </w:r>
      <w:r>
        <w:t xml:space="preserve">Files carrying the</w:t>
      </w:r>
      <w:r>
        <w:t xml:space="preserve"> </w:t>
      </w:r>
      <w:r>
        <w:t xml:space="preserve">same Tibetan title are grouped, and their colophons compared —</w:t>
      </w:r>
      <w:r>
        <w:t xml:space="preserve"> </w:t>
      </w:r>
      <w:r>
        <w:t xml:space="preserve">the session lesson that two works can share a title. Verdicts</w:t>
      </w:r>
      <w:r>
        <w:t xml:space="preserve"> </w:t>
      </w:r>
      <w:r>
        <w:t xml:space="preserve">name their evidence:</w:t>
      </w:r>
      <w:r>
        <w:t xml:space="preserve"> </w:t>
      </w:r>
      <w:r>
        <w:rPr>
          <w:i/>
          <w:iCs/>
        </w:rPr>
        <w:t xml:space="preserve">same colophon — true duplicates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different colophons — distinct works sharing a title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no</w:t>
      </w:r>
      <w:r>
        <w:rPr>
          <w:i/>
          <w:iCs/>
        </w:rPr>
        <w:t xml:space="preserve"> </w:t>
      </w:r>
      <w:r>
        <w:rPr>
          <w:i/>
          <w:iCs/>
        </w:rPr>
        <w:t xml:space="preserve">colophon evidence — needs a human read</w:t>
      </w:r>
      <w:r>
        <w:t xml:space="preserve">.</w:t>
      </w:r>
    </w:p>
    <w:p>
      <w:pPr>
        <w:pStyle w:val="FirstParagraph"/>
      </w:pPr>
      <w:r>
        <w:t xml:space="preserve">Run against our own installed Sungbum, the lanes found real work:</w:t>
      </w:r>
      <w:r>
        <w:t xml:space="preserve"> </w:t>
      </w:r>
      <w:r>
        <w:t xml:space="preserve">8 mismatch flags and 200 shared-title groups (107 reading as true</w:t>
      </w:r>
      <w:r>
        <w:t xml:space="preserve"> </w:t>
      </w:r>
      <w:r>
        <w:t xml:space="preserve">duplicate filings, 18 as distinct works, 75 needing a human) — the</w:t>
      </w:r>
      <w:r>
        <w:t xml:space="preserve"> </w:t>
      </w:r>
      <w:r>
        <w:t xml:space="preserve">battery re-measures this on every test run.</w:t>
      </w:r>
    </w:p>
    <w:bookmarkEnd w:id="135"/>
    <w:bookmarkStart w:id="136" w:name="X3be440718c2fb96da287412f93f33579e0e8f33"/>
    <w:p>
      <w:pPr>
        <w:pStyle w:val="Heading2"/>
      </w:pPr>
      <w:r>
        <w:t xml:space="preserve">14.19 Where might this belong? — shelf suggestions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 shelf selected and, instead of</w:t>
      </w:r>
      <w:r>
        <w:t xml:space="preserve"> </w:t>
      </w:r>
      <w:r>
        <w:t xml:space="preserve">a bare refusal, the panel now answers the real question:</w:t>
      </w:r>
      <w:r>
        <w:t xml:space="preserve"> </w:t>
      </w:r>
      <w:r>
        <w:rPr>
          <w:i/>
          <w:iCs/>
        </w:rPr>
        <w:t xml:space="preserve">where</w:t>
      </w:r>
      <w:r>
        <w:rPr>
          <w:i/>
          <w:iCs/>
        </w:rPr>
        <w:t xml:space="preserve"> </w:t>
      </w:r>
      <w:r>
        <w:rPr>
          <w:i/>
          <w:iCs/>
        </w:rPr>
        <w:t xml:space="preserve">might this belong?</w:t>
      </w:r>
      <w:r>
        <w:t xml:space="preserve"> </w:t>
      </w:r>
      <w:r>
        <w:t xml:space="preserve">Ranked existing shelves of the destination</w:t>
      </w:r>
      <w:r>
        <w:t xml:space="preserve"> </w:t>
      </w:r>
      <w:r>
        <w:t xml:space="preserve">tree, each with its reasons: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the shelf’s own name appears in the title</w:t>
      </w:r>
      <w:r>
        <w:t xml:space="preserve"> </w:t>
      </w:r>
      <w:r>
        <w:t xml:space="preserve">— the subject folders</w:t>
      </w:r>
      <w:r>
        <w:t xml:space="preserve"> </w:t>
      </w:r>
      <w:r>
        <w:t xml:space="preserve">are named by their phrases, and the file’s title carries them;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closest title here</w:t>
      </w:r>
      <w:r>
        <w:t xml:space="preserve"> </w:t>
      </w:r>
      <w:r>
        <w:t xml:space="preserve">— the nearest neighbor by syllable overlap,</w:t>
      </w:r>
      <w:r>
        <w:t xml:space="preserve"> </w:t>
      </w:r>
      <w:r>
        <w:t xml:space="preserve">named;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works by the same author already here</w:t>
      </w:r>
      <w:r>
        <w:t xml:space="preserve"> </w:t>
      </w:r>
      <w:r>
        <w:t xml:space="preserve">— counted, deliberately a</w:t>
      </w:r>
      <w:r>
        <w:t xml:space="preserve"> </w:t>
      </w:r>
      <w:r>
        <w:t xml:space="preserve">light signal (a prolific author’s biggest folder must not drag</w:t>
      </w:r>
      <w:r>
        <w:t xml:space="preserve"> </w:t>
      </w:r>
      <w:r>
        <w:t xml:space="preserve">every file to it).</w:t>
      </w:r>
    </w:p>
    <w:p>
      <w:pPr>
        <w:pStyle w:val="FirstParagraph"/>
      </w:pPr>
      <w:r>
        <w:t xml:space="preserve">Click a suggested shelf to select it in the right tree, then Move</w:t>
      </w:r>
      <w:r>
        <w:t xml:space="preserve"> </w:t>
      </w:r>
      <w:r>
        <w:t xml:space="preserve">to shelf… again to confirm — the machine never places a book.</w:t>
      </w:r>
    </w:p>
    <w:p>
      <w:pPr>
        <w:pStyle w:val="BodyText"/>
      </w:pPr>
      <w:r>
        <w:t xml:space="preserve">The honest numbers are printed on the report: measured on held-out</w:t>
      </w:r>
      <w:r>
        <w:t xml:space="preserve"> </w:t>
      </w:r>
      <w:r>
        <w:t xml:space="preserve">files of the installed Sungbum, the right shelf leads the list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31%</w:t>
      </w:r>
      <w:r>
        <w:t xml:space="preserve"> </w:t>
      </w:r>
      <w:r>
        <w:t xml:space="preserve">of the time and appears in the top three about</w:t>
      </w:r>
      <w:r>
        <w:t xml:space="preserve"> </w:t>
      </w:r>
      <w:r>
        <w:rPr>
          <w:b/>
          <w:bCs/>
        </w:rPr>
        <w:t xml:space="preserve">43%</w:t>
      </w:r>
      <w:r>
        <w:t xml:space="preserve"> </w:t>
      </w:r>
      <w:r>
        <w:t xml:space="preserve">— an aid, not an oracle. That ceiling is the design’s own</w:t>
      </w:r>
      <w:r>
        <w:t xml:space="preserve"> </w:t>
      </w:r>
      <w:r>
        <w:t xml:space="preserve">lesson: shelf choice is the fine-grained subject judgment the</w:t>
      </w:r>
      <w:r>
        <w:t xml:space="preserve"> </w:t>
      </w:r>
      <w:r>
        <w:t xml:space="preserve">sessions reserve for trained humans, which is exactly why the</w:t>
      </w:r>
      <w:r>
        <w:t xml:space="preserve"> </w:t>
      </w:r>
      <w:r>
        <w:t xml:space="preserve">human confirms every move.</w:t>
      </w:r>
    </w:p>
    <w:bookmarkEnd w:id="136"/>
    <w:bookmarkStart w:id="137" w:name="in-house-access-sign-in-stage-approve"/>
    <w:p>
      <w:pPr>
        <w:pStyle w:val="Heading2"/>
      </w:pPr>
      <w:r>
        <w:t xml:space="preserve">14.20 In-house access — sign in, stage, approve</w:t>
      </w:r>
    </w:p>
    <w:p>
      <w:pPr>
        <w:pStyle w:val="FirstParagraph"/>
      </w:pPr>
      <w:r>
        <w:t xml:space="preserve">The cataloging workflow is</w:t>
      </w:r>
      <w:r>
        <w:t xml:space="preserve"> </w:t>
      </w:r>
      <w:r>
        <w:rPr>
          <w:b/>
          <w:bCs/>
        </w:rPr>
        <w:t xml:space="preserve">in-house only</w:t>
      </w:r>
      <w:r>
        <w:t xml:space="preserve"> </w:t>
      </w:r>
      <w:r>
        <w:t xml:space="preserve">(2026-08-20). Three</w:t>
      </w:r>
      <w:r>
        <w:t xml:space="preserve"> </w:t>
      </w:r>
      <w:r>
        <w:t xml:space="preserve">pieces make that real, all living inside one folder — the team’s</w:t>
      </w:r>
      <w:r>
        <w:t xml:space="preserve"> </w:t>
      </w:r>
      <w:r>
        <w:rPr>
          <w:b/>
          <w:bCs/>
        </w:rPr>
        <w:t xml:space="preserve">official library</w:t>
      </w:r>
      <w:r>
        <w:t xml:space="preserve">, which should be the shared Dropbox-synced</w:t>
      </w:r>
      <w:r>
        <w:t xml:space="preserve"> </w:t>
      </w:r>
      <w:r>
        <w:t xml:space="preserve">folder everyone already uses. Because everything lives inside that</w:t>
      </w:r>
      <w:r>
        <w:t xml:space="preserve"> </w:t>
      </w:r>
      <w:r>
        <w:t xml:space="preserve">folder, Dropbox itself carries every staged file, every ledger row,</w:t>
      </w:r>
      <w:r>
        <w:t xml:space="preserve"> </w:t>
      </w:r>
      <w:r>
        <w:t xml:space="preserve">and every approved placement to the whole team; the app never talks</w:t>
      </w:r>
      <w:r>
        <w:t xml:space="preserve"> </w:t>
      </w:r>
      <w:r>
        <w:t xml:space="preserve">to Dropbox, it just works inside the folder Dropbox syncs.</w:t>
      </w:r>
    </w:p>
    <w:p>
      <w:pPr>
        <w:pStyle w:val="BodyText"/>
      </w:pPr>
      <w:r>
        <w:rPr>
          <w:b/>
          <w:bCs/>
        </w:rPr>
        <w:t xml:space="preserve">The roster and sign-in.</w:t>
      </w:r>
      <w:r>
        <w:t xml:space="preserve"> </w:t>
      </w:r>
      <w:r>
        <w:rPr>
          <w:i/>
          <w:iCs/>
        </w:rPr>
        <w:t xml:space="preserve">Official library…</w:t>
      </w:r>
      <w:r>
        <w:t xml:space="preserve"> </w:t>
      </w:r>
      <w:r>
        <w:t xml:space="preserve">points the pane at</w:t>
      </w:r>
      <w:r>
        <w:t xml:space="preserve"> </w:t>
      </w:r>
      <w:r>
        <w:t xml:space="preserve">the shared folder.</w:t>
      </w:r>
      <w:r>
        <w:t xml:space="preserve"> </w:t>
      </w:r>
      <w:r>
        <w:rPr>
          <w:i/>
          <w:iCs/>
        </w:rPr>
        <w:t xml:space="preserve">Team…</w:t>
      </w:r>
      <w:r>
        <w:t xml:space="preserve"> </w:t>
      </w:r>
      <w:r>
        <w:t xml:space="preserve">creates and manages</w:t>
      </w:r>
      <w:r>
        <w:t xml:space="preserve"> </w:t>
      </w:r>
      <w:r>
        <w:rPr>
          <w:rStyle w:val="VerbatimChar"/>
        </w:rPr>
        <w:t xml:space="preserve">CATALOG_TEAM.tsv</w:t>
      </w:r>
      <w:r>
        <w:t xml:space="preserve"> </w:t>
      </w:r>
      <w:r>
        <w:t xml:space="preserve">inside it — who may use the workflow, and as whom. The first entry</w:t>
      </w:r>
      <w:r>
        <w:t xml:space="preserve"> </w:t>
      </w:r>
      <w:r>
        <w:t xml:space="preserve">created becomes the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(that should be Adam); the admin adds</w:t>
      </w:r>
      <w:r>
        <w:t xml:space="preserve"> </w:t>
      </w:r>
      <w:r>
        <w:t xml:space="preserve">members, each with their own passphrase, and revokes access. Give</w:t>
      </w:r>
      <w:r>
        <w:t xml:space="preserve"> </w:t>
      </w:r>
      <w:r>
        <w:t xml:space="preserve">Geshe Michael the</w:t>
      </w:r>
      <w:r>
        <w:t xml:space="preserve"> </w:t>
      </w:r>
      <w:r>
        <w:rPr>
          <w:b/>
          <w:bCs/>
        </w:rPr>
        <w:t xml:space="preserve">approver</w:t>
      </w:r>
      <w:r>
        <w:t xml:space="preserve"> </w:t>
      </w:r>
      <w:r>
        <w:t xml:space="preserve">role. Until someone signs in, every</w:t>
      </w:r>
      <w:r>
        <w:t xml:space="preserve"> </w:t>
      </w:r>
      <w:r>
        <w:t xml:space="preserve">action button in the pane is disabled — browsing stays open, acting</w:t>
      </w:r>
      <w:r>
        <w:t xml:space="preserve"> </w:t>
      </w:r>
      <w:r>
        <w:t xml:space="preserve">does not. Honesty note: this is team discipline plus attribution</w:t>
      </w:r>
      <w:r>
        <w:t xml:space="preserve"> </w:t>
      </w:r>
      <w:r>
        <w:t xml:space="preserve">(salted passphrase hashes, every action signed with a name), not</w:t>
      </w:r>
      <w:r>
        <w:t xml:space="preserve"> </w:t>
      </w:r>
      <w:r>
        <w:t xml:space="preserve">cryptography — the Dropbox share itself is the real wall.</w:t>
      </w:r>
    </w:p>
    <w:p>
      <w:pPr>
        <w:pStyle w:val="BodyText"/>
      </w:pPr>
      <w:r>
        <w:rPr>
          <w:b/>
          <w:bCs/>
        </w:rPr>
        <w:t xml:space="preserve">Staging.</w:t>
      </w:r>
      <w:r>
        <w:t xml:space="preserve"> </w:t>
      </w:r>
      <w:r>
        <w:t xml:space="preserve">When a signed-in</w:t>
      </w:r>
      <w:r>
        <w:t xml:space="preserve"> </w:t>
      </w:r>
      <w:r>
        <w:rPr>
          <w:b/>
          <w:bCs/>
        </w:rPr>
        <w:t xml:space="preserve">cataloger</w:t>
      </w:r>
      <w:r>
        <w:t xml:space="preserve"> </w:t>
      </w:r>
      <w:r>
        <w:t xml:space="preserve">clicks</w:t>
      </w:r>
      <w:r>
        <w:t xml:space="preserve"> </w:t>
      </w:r>
      <w:r>
        <w:rPr>
          <w:i/>
          <w:iCs/>
        </w:rPr>
        <w:t xml:space="preserve">Move to</w:t>
      </w:r>
      <w:r>
        <w:rPr>
          <w:i/>
          <w:iCs/>
        </w:rPr>
        <w:t xml:space="preserve"> </w:t>
      </w:r>
      <w:r>
        <w:rPr>
          <w:i/>
          <w:iCs/>
        </w:rPr>
        <w:t xml:space="preserve">shelf…</w:t>
      </w:r>
      <w:r>
        <w:t xml:space="preserve">, the file does not go onto the shelf. A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AWAITING APPROVAL/</w:t>
      </w:r>
      <w:r>
        <w:t xml:space="preserve"> </w:t>
      </w:r>
      <w:r>
        <w:t xml:space="preserve">inside the official library (the mother copy</w:t>
      </w:r>
      <w:r>
        <w:t xml:space="preserve"> </w:t>
      </w:r>
      <w:r>
        <w:t xml:space="preserve">in the intake is untouched), under its proposed catalog name, and a</w:t>
      </w:r>
      <w:r>
        <w:t xml:space="preserve"> </w:t>
      </w:r>
      <w:r>
        <w:t xml:space="preserve">row is appended to</w:t>
      </w:r>
      <w:r>
        <w:t xml:space="preserve"> </w:t>
      </w:r>
      <w:r>
        <w:rPr>
          <w:rStyle w:val="VerbatimChar"/>
        </w:rPr>
        <w:t xml:space="preserve">ACTIONS.tsv</w:t>
      </w:r>
      <w:r>
        <w:t xml:space="preserve"> </w:t>
      </w:r>
      <w:r>
        <w:t xml:space="preserve">beside it: who, when, which file,</w:t>
      </w:r>
      <w:r>
        <w:t xml:space="preserve"> </w:t>
      </w:r>
      <w:r>
        <w:t xml:space="preserve">which proposed shelf, and the evidence. The ledger is plain ASCII —</w:t>
      </w:r>
      <w:r>
        <w:t xml:space="preserve"> </w:t>
      </w:r>
      <w:r>
        <w:t xml:space="preserve">Geshe Michael can read the list of actions in any editor, forever.</w:t>
      </w:r>
    </w:p>
    <w:p>
      <w:pPr>
        <w:pStyle w:val="BodyText"/>
      </w:pPr>
      <w:r>
        <w:rPr>
          <w:b/>
          <w:bCs/>
        </w:rPr>
        <w:t xml:space="preserve">Approving.</w:t>
      </w:r>
      <w:r>
        <w:t xml:space="preserve"> </w:t>
      </w:r>
      <w:r>
        <w:rPr>
          <w:i/>
          <w:iCs/>
        </w:rPr>
        <w:t xml:space="preserve">Approvals…</w:t>
      </w:r>
      <w:r>
        <w:t xml:space="preserve"> </w:t>
      </w:r>
      <w:r>
        <w:t xml:space="preserve">shows the pending list — every staged</w:t>
      </w:r>
      <w:r>
        <w:t xml:space="preserve"> </w:t>
      </w:r>
      <w:r>
        <w:t xml:space="preserve">action with its actor, proposed name, proposed shelf, and evidence.</w:t>
      </w:r>
      <w:r>
        <w:t xml:space="preserve"> </w:t>
      </w:r>
      <w:r>
        <w:t xml:space="preserve">Anyone signed in can read it; only an</w:t>
      </w:r>
      <w:r>
        <w:t xml:space="preserve"> </w:t>
      </w:r>
      <w:r>
        <w:rPr>
          <w:b/>
          <w:bCs/>
        </w:rPr>
        <w:t xml:space="preserve">approver</w:t>
      </w:r>
      <w:r>
        <w:t xml:space="preserve"> </w:t>
      </w:r>
      <w:r>
        <w:t xml:space="preserve">(Geshe Michael)</w:t>
      </w:r>
      <w:r>
        <w:t xml:space="preserve"> </w:t>
      </w:r>
      <w:r>
        <w:t xml:space="preserve">can rule.</w:t>
      </w:r>
      <w:r>
        <w:t xml:space="preserve"> </w:t>
      </w:r>
      <w:r>
        <w:rPr>
          <w:i/>
          <w:iCs/>
        </w:rPr>
        <w:t xml:space="preserve">Approve</w:t>
      </w:r>
      <w:r>
        <w:t xml:space="preserve"> </w:t>
      </w:r>
      <w:r>
        <w:t xml:space="preserve">moves the staged file onto its proposed shelf</w:t>
      </w:r>
      <w:r>
        <w:t xml:space="preserve"> </w:t>
      </w:r>
      <w:r>
        <w:t xml:space="preserve">(the placement then syncs to the whole team);</w:t>
      </w:r>
      <w:r>
        <w:t xml:space="preserve"> </w:t>
      </w:r>
      <w:r>
        <w:rPr>
          <w:i/>
          <w:iCs/>
        </w:rPr>
        <w:t xml:space="preserve">Reject…</w:t>
      </w:r>
      <w:r>
        <w:t xml:space="preserve"> </w:t>
      </w:r>
      <w:r>
        <w:t xml:space="preserve">moves it to</w:t>
      </w:r>
      <w:r>
        <w:t xml:space="preserve"> </w:t>
      </w:r>
      <w:r>
        <w:rPr>
          <w:rStyle w:val="VerbatimChar"/>
        </w:rPr>
        <w:t xml:space="preserve">AWAITING APPROVAL/REJECTED/</w:t>
      </w:r>
      <w:r>
        <w:t xml:space="preserve"> </w:t>
      </w:r>
      <w:r>
        <w:t xml:space="preserve">with the reason recorded in the</w:t>
      </w:r>
      <w:r>
        <w:t xml:space="preserve"> </w:t>
      </w:r>
      <w:r>
        <w:t xml:space="preserve">ledger — nothing is ever deleted. An approver’s own</w:t>
      </w:r>
      <w:r>
        <w:t xml:space="preserve"> </w:t>
      </w:r>
      <w:r>
        <w:rPr>
          <w:i/>
          <w:iCs/>
        </w:rPr>
        <w:t xml:space="preserve">Move to</w:t>
      </w:r>
      <w:r>
        <w:rPr>
          <w:i/>
          <w:iCs/>
        </w:rPr>
        <w:t xml:space="preserve"> </w:t>
      </w:r>
      <w:r>
        <w:rPr>
          <w:i/>
          <w:iCs/>
        </w:rPr>
        <w:t xml:space="preserve">shelf…</w:t>
      </w:r>
      <w:r>
        <w:t xml:space="preserve"> </w:t>
      </w:r>
      <w:r>
        <w:t xml:space="preserve">still acts directly, exactly as before.</w:t>
      </w:r>
    </w:p>
    <w:bookmarkEnd w:id="137"/>
    <w:bookmarkStart w:id="138" w:name="what-the-workflow-will-do-next"/>
    <w:p>
      <w:pPr>
        <w:pStyle w:val="Heading2"/>
      </w:pPr>
      <w:r>
        <w:t xml:space="preserve">14.21 What the workflow will do next</w:t>
      </w:r>
    </w:p>
    <w:p>
      <w:pPr>
        <w:pStyle w:val="FirstParagraph"/>
      </w:pPr>
      <w:r>
        <w:t xml:space="preserve">The workflow’s core is complete: census, identity, audit, splits,</w:t>
      </w:r>
      <w:r>
        <w:t xml:space="preserve"> </w:t>
      </w:r>
      <w:r>
        <w:t xml:space="preserve">naming, the ASCII list, the title workbench, tree comparison,</w:t>
      </w:r>
      <w:r>
        <w:t xml:space="preserve"> </w:t>
      </w:r>
      <w:r>
        <w:t xml:space="preserve">register, provenance, worksheet, routing, QC, and the handoff all</w:t>
      </w:r>
      <w:r>
        <w:t xml:space="preserve"> </w:t>
      </w:r>
      <w:r>
        <w:t xml:space="preserve">ship above. What comes next grows from use — the team’s own</w:t>
      </w:r>
      <w:r>
        <w:t xml:space="preserve"> </w:t>
      </w:r>
      <w:r>
        <w:t xml:space="preserve">sessions will show where the workbench should deepen.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4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40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40"/>
    <w:bookmarkStart w:id="141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form offers ten kinds (two more ride the channel from</w:t>
      </w:r>
      <w:r>
        <w:t xml:space="preserve"> </w:t>
      </w:r>
      <w:r>
        <w:t xml:space="preserve">elsewhere: spelling flags filed by the Overlay’s doubt marks,</w:t>
      </w:r>
      <w:r>
        <w:t xml:space="preserve"> </w:t>
      </w:r>
      <w:r>
        <w:t xml:space="preserve">and catalog identities filed from the Catalog pane’s</w:t>
      </w:r>
      <w:r>
        <w:t xml:space="preserve"> </w:t>
      </w:r>
      <w:r>
        <w:t xml:space="preserve">suggested-identity card). The ten, and what each means: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41"/>
    <w:bookmarkStart w:id="142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42"/>
    <w:bookmarkStart w:id="143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9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9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9"/>
        </w:numPr>
      </w:pPr>
      <w:r>
        <w:t xml:space="preserve">the filing date;</w:t>
      </w:r>
    </w:p>
    <w:p>
      <w:pPr>
        <w:pStyle w:val="Compact"/>
        <w:numPr>
          <w:ilvl w:val="0"/>
          <w:numId w:val="1109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51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45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10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45"/>
    <w:bookmarkStart w:id="146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11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46"/>
    <w:bookmarkStart w:id="147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47"/>
    <w:bookmarkStart w:id="148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48"/>
    <w:bookmarkStart w:id="149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1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13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49"/>
    <w:bookmarkStart w:id="150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62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52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52"/>
    <w:bookmarkStart w:id="153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53"/>
    <w:bookmarkStart w:id="154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15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15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15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15"/>
        </w:numPr>
      </w:pPr>
      <w:r>
        <w:t xml:space="preserve">the build line (C++20, the Qt version, the number of automated</w:t>
      </w:r>
      <w:r>
        <w:t xml:space="preserve"> </w:t>
      </w:r>
      <w:r>
        <w:t xml:space="preserve">test batteries — counted at build time, so it is always current</w:t>
      </w:r>
      <w:r>
        <w:t xml:space="preserve"> </w:t>
      </w:r>
      <w:r>
        <w:t xml:space="preserve">—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16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16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16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54"/>
    <w:bookmarkStart w:id="155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55"/>
    <w:bookmarkStart w:id="156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56"/>
    <w:bookmarkStart w:id="157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57"/>
    <w:bookmarkStart w:id="158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58"/>
    <w:bookmarkStart w:id="159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203 checks at this writing, 2026-08-20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fifty-five automated test batteries (as of 2026-08-20; the</w:t>
      </w:r>
      <w:r>
        <w:t xml:space="preserve"> </w:t>
      </w:r>
      <w:r>
        <w:t xml:space="preserve">count grows with every feature)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59"/>
    <w:bookmarkStart w:id="160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60"/>
    <w:bookmarkStart w:id="161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📎 apparatus</w:t>
      </w:r>
      <w:r>
        <w:t xml:space="preserve"> </w:t>
      </w:r>
      <w:r>
        <w:t xml:space="preserve">rows — the published footnotes and</w:t>
      </w:r>
      <w:r>
        <w:t xml:space="preserve"> </w:t>
      </w:r>
      <w:r>
        <w:t xml:space="preserve">bibliography entries;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👤 person</w:t>
      </w:r>
      <w:r>
        <w:t xml:space="preserve"> </w:t>
      </w:r>
      <w:r>
        <w:t xml:space="preserve">rows — the authors layer: type any part of a</w:t>
      </w:r>
      <w:r>
        <w:t xml:space="preserve"> </w:t>
      </w:r>
      <w:r>
        <w:t xml:space="preserve">name (</w:t>
      </w:r>
      <w:r>
        <w:rPr>
          <w:i/>
          <w:iCs/>
        </w:rPr>
        <w:t xml:space="preserve">gzhon nu dpal</w:t>
      </w:r>
      <w:r>
        <w:t xml:space="preserve">, an anglicized fragment, a BDRC variant)</w:t>
      </w:r>
      <w:r>
        <w:t xml:space="preserve"> </w:t>
      </w:r>
      <w:r>
        <w:t xml:space="preserve">and matching authors appear with their dates and catalog work</w:t>
      </w:r>
      <w:r>
        <w:t xml:space="preserve"> </w:t>
      </w:r>
      <w:r>
        <w:t xml:space="preserve">count; Enter opens the person’s BDRC page (with Treasury of</w:t>
      </w:r>
      <w:r>
        <w:t xml:space="preserve"> </w:t>
      </w:r>
      <w:r>
        <w:t xml:space="preserve">Lives where linked). Their works surface right below through</w:t>
      </w:r>
      <w:r>
        <w:t xml:space="preserve"> </w:t>
      </w:r>
      <w:r>
        <w:t xml:space="preserve">the file lane — the same query finds both;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2026-08-20T16:47:10Z</dcterms:created>
  <dcterms:modified xsi:type="dcterms:W3CDTF">2026-08-20T16:47:10Z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