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3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what-the-workflow-will-do-next"/>
    <w:p>
      <w:pPr>
        <w:pStyle w:val="Heading2"/>
      </w:pPr>
      <w:r>
        <w:t xml:space="preserve">14.16 What the workflow will do next</w:t>
      </w:r>
    </w:p>
    <w:p>
      <w:pPr>
        <w:pStyle w:val="FirstParagraph"/>
      </w:pPr>
      <w:r>
        <w:t xml:space="preserve">Still to come, in order: quality-control lanes</w:t>
      </w:r>
      <w:r>
        <w:t xml:space="preserve"> </w:t>
      </w:r>
      <w:r>
        <w:t xml:space="preserve">(title-versus-translation mismatch, colophon-aware duplicate</w:t>
      </w:r>
      <w:r>
        <w:t xml:space="preserve"> </w:t>
      </w:r>
      <w:r>
        <w:t xml:space="preserve">detection across the intake set); the full cataloging worksheet —</w:t>
      </w:r>
      <w:r>
        <w:t xml:space="preserve"> </w:t>
      </w:r>
      <w:r>
        <w:t xml:space="preserve">its 52-field schema is now in hand from the team’s live</w:t>
      </w:r>
      <w:r>
        <w:t xml:space="preserve"> </w:t>
      </w:r>
      <w:r>
        <w:t xml:space="preserve">spreadsheet (ACIP number through Tohoku, titles in three languages,</w:t>
      </w:r>
      <w:r>
        <w:t xml:space="preserve"> </w:t>
      </w:r>
      <w:r>
        <w:t xml:space="preserve">authorship, BDRC identifiers, publisher, colophon, physical</w:t>
      </w:r>
      <w:r>
        <w:t xml:space="preserve"> </w:t>
      </w:r>
      <w:r>
        <w:t xml:space="preserve">dimensions, condition…); routing, so an identity a cataloger</w:t>
      </w:r>
      <w:r>
        <w:t xml:space="preserve"> </w:t>
      </w:r>
      <w:r>
        <w:t xml:space="preserve">accepts becomes a proposal in the ordinary approval channel and</w:t>
      </w:r>
      <w:r>
        <w:t xml:space="preserve"> </w:t>
      </w:r>
      <w:r>
        <w:t xml:space="preserve">exports as a candidates file for the data project. The handoff</w:t>
      </w:r>
      <w:r>
        <w:t xml:space="preserve"> </w:t>
      </w:r>
      <w:r>
        <w:t xml:space="preserve">itself ships above (14.15).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8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4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4"/>
    <w:bookmarkStart w:id="135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5"/>
    <w:bookmarkStart w:id="136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36"/>
    <w:bookmarkStart w:id="137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7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7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7"/>
        </w:numPr>
      </w:pPr>
      <w:r>
        <w:t xml:space="preserve">the filing date;</w:t>
      </w:r>
    </w:p>
    <w:p>
      <w:pPr>
        <w:pStyle w:val="Compact"/>
        <w:numPr>
          <w:ilvl w:val="0"/>
          <w:numId w:val="1107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5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39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8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39"/>
    <w:bookmarkStart w:id="140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9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0"/>
    <w:bookmarkStart w:id="141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1"/>
    <w:bookmarkStart w:id="142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2"/>
    <w:bookmarkStart w:id="143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1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3"/>
    <w:bookmarkStart w:id="144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6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46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46"/>
    <w:bookmarkStart w:id="147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47"/>
    <w:bookmarkStart w:id="148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3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3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3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3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4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4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4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48"/>
    <w:bookmarkStart w:id="149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49"/>
    <w:bookmarkStart w:id="150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0"/>
    <w:bookmarkStart w:id="151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1"/>
    <w:bookmarkStart w:id="152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2"/>
    <w:bookmarkStart w:id="153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3"/>
    <w:bookmarkStart w:id="154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4"/>
    <w:bookmarkStart w:id="155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5"/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2026-08-19T23:47:28Z</dcterms:created>
  <dcterms:modified xsi:type="dcterms:W3CDTF">2026-08-19T23:47:28Z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