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The ALL Translation Tool</w:t>
      </w:r>
    </w:p>
    <w:p>
      <w:pPr>
        <w:pStyle w:val="BodyText"/>
      </w:pPr>
      <w:r>
        <w:rPr>
          <w:i/>
          <w:iCs/>
        </w:rPr>
        <w:t xml:space="preserve">A complete working environment for Tibetan texts and their translation</w:t>
      </w:r>
    </w:p>
    <w:p>
      <w:pPr>
        <w:pStyle w:val="BodyText"/>
      </w:pPr>
      <w:r>
        <w:t xml:space="preserve">Asian Legacy Library · Asian Classics Input Project — White Paper,</w:t>
      </w:r>
      <w:r>
        <w:t xml:space="preserve"> </w:t>
      </w:r>
      <w:r>
        <w:t xml:space="preserve">August 2026</w:t>
      </w:r>
    </w:p>
    <w:p>
      <w:pPr>
        <w:pStyle w:val="BodyText"/>
      </w:pPr>
      <w:r>
        <w:rPr>
          <w:b/>
          <w:bCs/>
        </w:rPr>
        <w:t xml:space="preserve">1. Purpose</w:t>
      </w:r>
    </w:p>
    <w:p>
      <w:pPr>
        <w:pStyle w:val="BodyText"/>
      </w:pPr>
      <w:r>
        <w:t xml:space="preserve">The ALL Translation Tool is a desktop application that gathers, in one</w:t>
      </w:r>
      <w:r>
        <w:t xml:space="preserve"> </w:t>
      </w:r>
      <w:r>
        <w:t xml:space="preserve">place, every function needed to work with a Tibetan digital text:</w:t>
      </w:r>
      <w:r>
        <w:t xml:space="preserve"> </w:t>
      </w:r>
      <w:r>
        <w:t xml:space="preserve">reading it, looking words up, converting between writing systems,</w:t>
      </w:r>
      <w:r>
        <w:t xml:space="preserve"> </w:t>
      </w:r>
      <w:r>
        <w:t xml:space="preserve">analyzing grammar, drafting a translation, checking that draft, and</w:t>
      </w:r>
      <w:r>
        <w:t xml:space="preserve"> </w:t>
      </w:r>
      <w:r>
        <w:t xml:space="preserve">training the next generation of translators. It is built around one</w:t>
      </w:r>
      <w:r>
        <w:t xml:space="preserve"> </w:t>
      </w:r>
      <w:r>
        <w:t xml:space="preserve">central treasure: the dictionary of English equivalents established by</w:t>
      </w:r>
      <w:r>
        <w:t xml:space="preserve"> </w:t>
      </w:r>
      <w:r>
        <w:t xml:space="preserve">Geshe Michael Roach across decades of teaching and translation, together</w:t>
      </w:r>
      <w:r>
        <w:t xml:space="preserve"> </w:t>
      </w:r>
      <w:r>
        <w:t xml:space="preserve">with a parallel corpus of 42,199 Tibetan–English segments drawn from</w:t>
      </w:r>
      <w:r>
        <w:t xml:space="preserve"> </w:t>
      </w:r>
      <w:r>
        <w:t xml:space="preserve">more than sixty of his courses and works — including, as of August</w:t>
      </w:r>
      <w:r>
        <w:t xml:space="preserve"> </w:t>
      </w:r>
      <w:r>
        <w:t xml:space="preserve">2026, three newly ingested published volumes (A Song of My Spiritual</w:t>
      </w:r>
      <w:r>
        <w:t xml:space="preserve"> </w:t>
      </w:r>
      <w:r>
        <w:t xml:space="preserve">Life, The Other Side of Emptiness, and The Sixty Verses of Nagarjuna)</w:t>
      </w:r>
      <w:r>
        <w:t xml:space="preserve"> </w:t>
      </w:r>
      <w:r>
        <w:t xml:space="preserve">and nearly three thousand paired Tibetan–English titles of canonical</w:t>
      </w:r>
      <w:r>
        <w:t xml:space="preserve"> </w:t>
      </w:r>
      <w:r>
        <w:t xml:space="preserve">works from the Project’s own master catalogs.</w:t>
      </w:r>
    </w:p>
    <w:p>
      <w:pPr>
        <w:pStyle w:val="BodyText"/>
      </w:pPr>
      <w:r>
        <w:t xml:space="preserve">The software is written as a fast, self-contained program for the Mac</w:t>
      </w:r>
      <w:r>
        <w:t xml:space="preserve"> </w:t>
      </w:r>
      <w:r>
        <w:t xml:space="preserve">(with Windows and Linux planned for the input centers). Everything</w:t>
      </w:r>
      <w:r>
        <w:t xml:space="preserve"> </w:t>
      </w:r>
      <w:r>
        <w:t xml:space="preserve">essential runs offline; the texts and the dictionary never leave the</w:t>
      </w:r>
      <w:r>
        <w:t xml:space="preserve"> </w:t>
      </w:r>
      <w:r>
        <w:t xml:space="preserve">machine.</w:t>
      </w:r>
    </w:p>
    <w:p>
      <w:pPr>
        <w:pStyle w:val="BodyText"/>
      </w:pPr>
      <w:r>
        <w:rPr>
          <w:b/>
          <w:bCs/>
        </w:rPr>
        <w:t xml:space="preserve">2. Founding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Rule one —</w:t>
      </w:r>
      <w:r>
        <w:t xml:space="preserve"> </w:t>
      </w:r>
      <w:r>
        <w:t xml:space="preserve">Geshe Michael’s English is the binding layer. The</w:t>
      </w:r>
      <w:r>
        <w:t xml:space="preserve"> </w:t>
      </w:r>
      <w:r>
        <w:t xml:space="preserve">dictionary field carrying his equivalents is the authority in every</w:t>
      </w:r>
      <w:r>
        <w:t xml:space="preserve"> </w:t>
      </w:r>
      <w:r>
        <w:t xml:space="preserve">pane. Reference materials from other scholars are displayed only as</w:t>
      </w:r>
      <w:r>
        <w:t xml:space="preserve"> </w:t>
      </w:r>
      <w:r>
        <w:t xml:space="preserve">clearly-labeled comparanda and are never promoted into his voice.</w:t>
      </w:r>
      <w:r>
        <w:t xml:space="preserve"> </w:t>
      </w:r>
      <w:r>
        <w:t xml:space="preserve">Machine processes may MATCH his English from corpus evidence; they</w:t>
      </w:r>
      <w:r>
        <w:t xml:space="preserve"> </w:t>
      </w:r>
      <w:r>
        <w:t xml:space="preserve">never compose English in his name.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Honest tiers —</w:t>
      </w:r>
      <w:r>
        <w:t xml:space="preserve"> </w:t>
      </w:r>
      <w:r>
        <w:t xml:space="preserve">Anything derived automatically — an aligned</w:t>
      </w:r>
      <w:r>
        <w:t xml:space="preserve"> </w:t>
      </w:r>
      <w:r>
        <w:t xml:space="preserve">gloss, a guessed verb, a suggested reading order — is labeled</w:t>
      </w:r>
      <w:r>
        <w:t xml:space="preserve"> </w:t>
      </w:r>
      <w:r>
        <w:t xml:space="preserve">provisional or as guidance, and looks visibly different from attested</w:t>
      </w:r>
      <w:r>
        <w:t xml:space="preserve"> </w:t>
      </w:r>
      <w:r>
        <w:t xml:space="preserve">data. Terms with different senses in different registers (prayer</w:t>
      </w:r>
      <w:r>
        <w:t xml:space="preserve"> </w:t>
      </w:r>
      <w:r>
        <w:t xml:space="preserve">versus philosophy) carry warnings and are never auto-resolved.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Never guess —</w:t>
      </w:r>
      <w:r>
        <w:t xml:space="preserve"> </w:t>
      </w:r>
      <w:r>
        <w:t xml:space="preserve">When a conversion or an analysis cannot be</w:t>
      </w:r>
      <w:r>
        <w:t xml:space="preserve"> </w:t>
      </w:r>
      <w:r>
        <w:t xml:space="preserve">completed with certainty, the app flags the place and says so. It</w:t>
      </w:r>
      <w:r>
        <w:t xml:space="preserve"> </w:t>
      </w:r>
      <w:r>
        <w:t xml:space="preserve">never silently approximates.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Provenance —</w:t>
      </w:r>
      <w:r>
        <w:t xml:space="preserve"> </w:t>
      </w:r>
      <w:r>
        <w:t xml:space="preserve">The application imports versioned data releases; it</w:t>
      </w:r>
      <w:r>
        <w:t xml:space="preserve"> </w:t>
      </w:r>
      <w:r>
        <w:t xml:space="preserve">does not own or alter the data. Every generated field carries its</w:t>
      </w:r>
      <w:r>
        <w:t xml:space="preserve"> </w:t>
      </w:r>
      <w:r>
        <w:t xml:space="preserve">provenance.</w:t>
      </w:r>
    </w:p>
    <w:p>
      <w:pPr>
        <w:pStyle w:val="FirstParagraph"/>
      </w:pPr>
      <w:r>
        <w:rPr>
          <w:b/>
          <w:bCs/>
        </w:rPr>
        <w:t xml:space="preserve">3. The data foundation</w:t>
      </w:r>
    </w:p>
    <w:tbl>
      <w:tblPr>
        <w:tblStyle w:val="Table"/>
        <w:tblW w:type="pct" w:w="4865"/>
        <w:tblLayout w:type="fixed"/>
        <w:tblLook w:firstRow="0" w:lastRow="0" w:firstColumn="0" w:lastColumn="0" w:noHBand="0" w:noVBand="0" w:val="0000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Unified dictionary (v0.27.2)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105,634 entries; 12,004 with Geshe</w:t>
            </w:r>
            <w:r>
              <w:t xml:space="preserve"> </w:t>
            </w:r>
            <w:r>
              <w:t xml:space="preserve">Michael’s equivalents in tiered</w:t>
            </w:r>
            <w:r>
              <w:t xml:space="preserve"> </w:t>
            </w:r>
            <w:r>
              <w:t xml:space="preserve">quality (curated / glossary /</w:t>
            </w:r>
            <w:r>
              <w:t xml:space="preserve"> </w:t>
            </w:r>
            <w:r>
              <w:t xml:space="preserve">provisional)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42,199 aligned Tibetan–English</w:t>
            </w:r>
            <w:r>
              <w:t xml:space="preserve"> </w:t>
            </w:r>
            <w:r>
              <w:t xml:space="preserve">segments from 60+ sources,</w:t>
            </w:r>
            <w:r>
              <w:t xml:space="preserve"> </w:t>
            </w:r>
            <w:r>
              <w:t xml:space="preserve">published volumes, the Project’s</w:t>
            </w:r>
            <w:r>
              <w:t xml:space="preserve"> </w:t>
            </w:r>
            <w:r>
              <w:t xml:space="preserve">catalog titles, its bilingual</w:t>
            </w:r>
            <w:r>
              <w:t xml:space="preserve"> </w:t>
            </w:r>
            <w:r>
              <w:t xml:space="preserve">subject headings, and</w:t>
            </w:r>
            <w:r>
              <w:t xml:space="preserve"> </w:t>
            </w:r>
            <w:r>
              <w:t xml:space="preserve">join-verified author names — the</w:t>
            </w:r>
            <w:r>
              <w:t xml:space="preserve"> </w:t>
            </w:r>
            <w:r>
              <w:t xml:space="preserve">evidence base and the</w:t>
            </w:r>
            <w:r>
              <w:t xml:space="preserve"> </w:t>
            </w:r>
            <w:r>
              <w:t xml:space="preserve">“answer key”</w:t>
            </w:r>
            <w:r>
              <w:t xml:space="preserve"> </w:t>
            </w:r>
            <w:r>
              <w:t xml:space="preserve">for all training exercises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Installed text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complete ACIP Release 6</w:t>
            </w:r>
            <w:r>
              <w:t xml:space="preserve"> </w:t>
            </w:r>
            <w:r>
              <w:t xml:space="preserve">corpus: 2,716 texts, 8.68 million</w:t>
            </w:r>
            <w:r>
              <w:t xml:space="preserve"> </w:t>
            </w:r>
            <w:r>
              <w:t xml:space="preserve">lines, fully search-indexed on</w:t>
            </w:r>
            <w:r>
              <w:t xml:space="preserve"> </w:t>
            </w:r>
            <w:r>
              <w:t xml:space="preserve">the user’s own machine — and</w:t>
            </w:r>
            <w:r>
              <w:t xml:space="preserve"> </w:t>
            </w:r>
            <w:r>
              <w:t xml:space="preserve">readable: any text in the canon,</w:t>
            </w:r>
            <w:r>
              <w:t xml:space="preserve"> </w:t>
            </w:r>
            <w:r>
              <w:t xml:space="preserve">including a full 1.6MB volume,</w:t>
            </w:r>
            <w:r>
              <w:t xml:space="preserve"> </w:t>
            </w:r>
            <w:r>
              <w:t xml:space="preserve">opens in the reading pane fully</w:t>
            </w:r>
            <w:r>
              <w:t xml:space="preserve"> </w:t>
            </w:r>
            <w:r>
              <w:t xml:space="preserve">dictionary-shaded in under half</w:t>
            </w:r>
            <w:r>
              <w:t xml:space="preserve"> </w:t>
            </w:r>
            <w:r>
              <w:t xml:space="preserve">a second, whether the file is in</w:t>
            </w:r>
            <w:r>
              <w:t xml:space="preserve"> </w:t>
            </w:r>
            <w:r>
              <w:t xml:space="preserve">ACIP or scholarly transliteration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Lokesh Chandra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79,305 Sanskrit-linked entries;</w:t>
            </w:r>
            <w:r>
              <w:t xml:space="preserve"> </w:t>
            </w:r>
            <w:r>
              <w:t xml:space="preserve">88,973 headwords with IAST Sanskrit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dictionaries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445,772 definitions from legacy</w:t>
            </w:r>
            <w:r>
              <w:t xml:space="preserve"> </w:t>
            </w:r>
            <w:r>
              <w:t xml:space="preserve">tools (multi-scholar compilations),</w:t>
            </w:r>
            <w:r>
              <w:t xml:space="preserve"> </w:t>
            </w:r>
            <w:r>
              <w:t xml:space="preserve">kept strictly local as labeled</w:t>
            </w:r>
            <w:r>
              <w:t xml:space="preserve"> </w:t>
            </w:r>
            <w:r>
              <w:t xml:space="preserve">reference — never redistributed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Attestation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449,000+ word forms from the Monlam</w:t>
            </w:r>
            <w:r>
              <w:t xml:space="preserve"> </w:t>
            </w:r>
            <w:r>
              <w:t xml:space="preserve">Grand Dictionary project and a</w:t>
            </w:r>
            <w:r>
              <w:t xml:space="preserve"> </w:t>
            </w:r>
            <w:r>
              <w:t xml:space="preserve">2,491-row verb-paradigm database</w:t>
            </w:r>
            <w:r>
              <w:t xml:space="preserve"> </w:t>
            </w:r>
            <w:r>
              <w:t xml:space="preserve">(both openly licensed) — shown</w:t>
            </w:r>
            <w:r>
              <w:t xml:space="preserve"> </w:t>
            </w:r>
            <w:r>
              <w:t xml:space="preserve">only as labeled reference, never</w:t>
            </w:r>
            <w:r>
              <w:t xml:space="preserve"> </w:t>
            </w:r>
            <w:r>
              <w:t xml:space="preserve">binding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Conversion engines — and how they are proven</w:t>
      </w:r>
    </w:p>
    <w:p>
      <w:pPr>
        <w:pStyle w:val="BodyText"/>
      </w:pPr>
      <w:r>
        <w:t xml:space="preserve">Every conversion engine was first perfected as a canonical reference</w:t>
      </w:r>
      <w:r>
        <w:t xml:space="preserve"> </w:t>
      </w:r>
      <w:r>
        <w:t xml:space="preserve">implementation during the dictionary project, then ported into the</w:t>
      </w:r>
      <w:r>
        <w:t xml:space="preserve"> </w:t>
      </w:r>
      <w:r>
        <w:t xml:space="preserve">application and proven against large validation batteries. A port that</w:t>
      </w:r>
      <w:r>
        <w:t xml:space="preserve"> </w:t>
      </w:r>
      <w:r>
        <w:t xml:space="preserve">fails its battery does not ship. Current results:</w:t>
      </w:r>
    </w:p>
    <w:p>
      <w:pPr>
        <w:numPr>
          <w:ilvl w:val="0"/>
          <w:numId w:val="1002"/>
        </w:numPr>
      </w:pPr>
      <w:r>
        <w:t xml:space="preserve">ACIP → scholarly transliteration (EWTS): exact on all corpus</w:t>
      </w:r>
      <w:r>
        <w:t xml:space="preserve"> </w:t>
      </w:r>
      <w:r>
        <w:t xml:space="preserve">conversions (100.000%).</w:t>
      </w:r>
    </w:p>
    <w:p>
      <w:pPr>
        <w:numPr>
          <w:ilvl w:val="0"/>
          <w:numId w:val="1002"/>
        </w:numPr>
      </w:pPr>
      <w:r>
        <w:t xml:space="preserve">Transliteration → Tibetan script (Unicode): 99.03% on 26,318</w:t>
      </w:r>
      <w:r>
        <w:t xml:space="preserve"> </w:t>
      </w:r>
      <w:r>
        <w:t xml:space="preserve">source-attested ground-truth pairs — identical to the canonical</w:t>
      </w:r>
      <w:r>
        <w:t xml:space="preserve"> </w:t>
      </w:r>
      <w:r>
        <w:t xml:space="preserve">engine, with every miss traced to a documented source defect.</w:t>
      </w:r>
    </w:p>
    <w:p>
      <w:pPr>
        <w:numPr>
          <w:ilvl w:val="0"/>
          <w:numId w:val="1002"/>
        </w:numPr>
      </w:pPr>
      <w:r>
        <w:t xml:space="preserve">Pronunciation in Geshe Michael’s convention: character-for-character</w:t>
      </w:r>
      <w:r>
        <w:t xml:space="preserve"> </w:t>
      </w:r>
      <w:r>
        <w:t xml:space="preserve">identical to the canonical engine on all 105,576 dictionary headwords,</w:t>
      </w:r>
      <w:r>
        <w:t xml:space="preserve"> </w:t>
      </w:r>
      <w:r>
        <w:t xml:space="preserve">with 2,118 printed-card pronunciations as ground truth.</w:t>
      </w:r>
    </w:p>
    <w:p>
      <w:pPr>
        <w:numPr>
          <w:ilvl w:val="0"/>
          <w:numId w:val="1002"/>
        </w:numPr>
      </w:pPr>
      <w:r>
        <w:t xml:space="preserve">Sanskrit converter: IAST ⇄ Tibetanized ACIP ⇄ both official ACIP</w:t>
      </w:r>
      <w:r>
        <w:t xml:space="preserve"> </w:t>
      </w:r>
      <w:r>
        <w:t xml:space="preserve">input-code styles ⇄ Tibetan script ⇄ Devanagari — identical to the</w:t>
      </w:r>
      <w:r>
        <w:t xml:space="preserve"> </w:t>
      </w:r>
      <w:r>
        <w:t xml:space="preserve">canonical engine on all 79,452 Sanskrit terms in the Lokesh Chandra</w:t>
      </w:r>
      <w:r>
        <w:t xml:space="preserve"> </w:t>
      </w:r>
      <w:r>
        <w:t xml:space="preserve">data, including failing on exactly the same malformed inputs. A new</w:t>
      </w:r>
      <w:r>
        <w:t xml:space="preserve"> </w:t>
      </w:r>
      <w:r>
        <w:t xml:space="preserve">Devanagari-reading engine round-trips all 73,437 renderings exactly.</w:t>
      </w:r>
    </w:p>
    <w:p>
      <w:pPr>
        <w:numPr>
          <w:ilvl w:val="0"/>
          <w:numId w:val="1002"/>
        </w:numPr>
      </w:pPr>
      <w:r>
        <w:t xml:space="preserve">Authentic Sanskrit pronunciation: classical scholarly IPA (with</w:t>
      </w:r>
      <w:r>
        <w:t xml:space="preserve"> </w:t>
      </w:r>
      <w:r>
        <w:t xml:space="preserve">correct anusvāra assimilation) plus a per-letter</w:t>
      </w:r>
      <w:r>
        <w:t xml:space="preserve"> </w:t>
      </w:r>
      <w:r>
        <w:t xml:space="preserve">“how to say it”</w:t>
      </w:r>
      <w:r>
        <w:t xml:space="preserve"> </w:t>
      </w:r>
      <w:r>
        <w:t xml:space="preserve">guide</w:t>
      </w:r>
      <w:r>
        <w:t xml:space="preserve"> </w:t>
      </w:r>
      <w:r>
        <w:t xml:space="preserve">following the FPMT transliteration standard.</w:t>
      </w:r>
    </w:p>
    <w:p>
      <w:pPr>
        <w:numPr>
          <w:ilvl w:val="0"/>
          <w:numId w:val="1002"/>
        </w:numPr>
      </w:pPr>
      <w:r>
        <w:t xml:space="preserve">Simplified pronunciation: validated against the Project’s own standard</w:t>
      </w:r>
      <w:r>
        <w:t xml:space="preserve"> </w:t>
      </w:r>
      <w:r>
        <w:t xml:space="preserve">(ACIP Release IV, pp. 173–178) — 51 of the standard’s 52</w:t>
      </w:r>
      <w:r>
        <w:t xml:space="preserve"> </w:t>
      </w:r>
      <w:r>
        <w:t xml:space="preserve">pure-Tibetan chart examples reproduce exactly.</w:t>
      </w:r>
    </w:p>
    <w:p>
      <w:pPr>
        <w:numPr>
          <w:ilvl w:val="0"/>
          <w:numId w:val="1002"/>
        </w:numPr>
      </w:pPr>
      <w:r>
        <w:t xml:space="preserve">The Tibetan calendar: the traditional Modern Karana arithmetic —</w:t>
      </w:r>
      <w:r>
        <w:t xml:space="preserve"> </w:t>
      </w:r>
      <w:r>
        <w:t xml:space="preserve">true month, true weekday, true sun, and the general day count —</w:t>
      </w:r>
      <w:r>
        <w:t xml:space="preserve"> </w:t>
      </w:r>
      <w:r>
        <w:t xml:space="preserve">ported from Edward Henning’s authoritative open-source</w:t>
      </w:r>
      <w:r>
        <w:t xml:space="preserve"> </w:t>
      </w:r>
      <w:r>
        <w:t xml:space="preserve">implementation and proven against the original program running</w:t>
      </w:r>
      <w:r>
        <w:t xml:space="preserve"> </w:t>
      </w:r>
      <w:r>
        <w:t xml:space="preserve">beside it: 76 of 76 spot fixtures, then every month header (25/25)</w:t>
      </w:r>
      <w:r>
        <w:t xml:space="preserve"> </w:t>
      </w:r>
      <w:r>
        <w:t xml:space="preserve">and every day (721/721) of two complete printed years, with all 17</w:t>
      </w:r>
      <w:r>
        <w:t xml:space="preserve"> </w:t>
      </w:r>
      <w:r>
        <w:t xml:space="preserve">doubled lunar days verified as exact pairs. Year designations</w:t>
      </w:r>
      <w:r>
        <w:t xml:space="preserve"> </w:t>
      </w:r>
      <w:r>
        <w:t xml:space="preserve">(rabjung, element-animal) are computed independently and agree with</w:t>
      </w:r>
      <w:r>
        <w:t xml:space="preserve"> </w:t>
      </w:r>
      <w:r>
        <w:t xml:space="preserve">the ported formulas.</w:t>
      </w:r>
    </w:p>
    <w:p>
      <w:pPr>
        <w:numPr>
          <w:ilvl w:val="0"/>
          <w:numId w:val="1002"/>
        </w:numPr>
      </w:pPr>
      <w:r>
        <w:t xml:space="preserve">Word segmentation: a faithful port of the openly-licensed botok</w:t>
      </w:r>
      <w:r>
        <w:t xml:space="preserve"> </w:t>
      </w:r>
      <w:r>
        <w:t xml:space="preserve">tokenizer (the ecosystem standard, and deterministic — a trie over</w:t>
      </w:r>
      <w:r>
        <w:t xml:space="preserve"> </w:t>
      </w:r>
      <w:r>
        <w:t xml:space="preserve">a lexicon, not machine learning), proven token-for-token against the</w:t>
      </w:r>
      <w:r>
        <w:t xml:space="preserve"> </w:t>
      </w:r>
      <w:r>
        <w:t xml:space="preserve">original across the full corpus, feeding a clearly-labeled reference</w:t>
      </w:r>
      <w:r>
        <w:t xml:space="preserve"> </w:t>
      </w:r>
      <w:r>
        <w:t xml:space="preserve">layer in the reading pane.</w:t>
      </w:r>
    </w:p>
    <w:p>
      <w:pPr>
        <w:numPr>
          <w:ilvl w:val="0"/>
          <w:numId w:val="1002"/>
        </w:numPr>
      </w:pPr>
      <w:r>
        <w:t xml:space="preserve">Affixed-particle normalization: the rules behind the Buddhist</w:t>
      </w:r>
      <w:r>
        <w:t xml:space="preserve"> </w:t>
      </w:r>
      <w:r>
        <w:t xml:space="preserve">Digital Resource Center’s own search engine, ported so that a search</w:t>
      </w:r>
      <w:r>
        <w:t xml:space="preserve"> </w:t>
      </w:r>
      <w:r>
        <w:t xml:space="preserve">for a bare word also finds its case-built forms — everywhere: the</w:t>
      </w:r>
      <w:r>
        <w:t xml:space="preserve"> </w:t>
      </w:r>
      <w:r>
        <w:t xml:space="preserve">dictionary lookup, the corpus, and the installed library — while</w:t>
      </w:r>
      <w:r>
        <w:t xml:space="preserve"> </w:t>
      </w:r>
      <w:r>
        <w:t xml:space="preserve">words whose final letter belongs to the root are never over-stripped.</w:t>
      </w:r>
    </w:p>
    <w:p>
      <w:pPr>
        <w:numPr>
          <w:ilvl w:val="0"/>
          <w:numId w:val="1002"/>
        </w:numPr>
      </w:pPr>
      <w:r>
        <w:t xml:space="preserve">An independent cross-check: the ecosystem’s standard converter was</w:t>
      </w:r>
      <w:r>
        <w:t xml:space="preserve"> </w:t>
      </w:r>
      <w:r>
        <w:t xml:space="preserve">run over all 105,634 dictionary entries as a diff-oracle. It agreed</w:t>
      </w:r>
      <w:r>
        <w:t xml:space="preserve"> </w:t>
      </w:r>
      <w:r>
        <w:t xml:space="preserve">with our engine on 91.4% exactly; nearly all the rest are entries</w:t>
      </w:r>
      <w:r>
        <w:t xml:space="preserve"> </w:t>
      </w:r>
      <w:r>
        <w:t xml:space="preserve">where OUR side refuses to guess (the master’s honesty flags) while</w:t>
      </w:r>
      <w:r>
        <w:t xml:space="preserve"> </w:t>
      </w:r>
      <w:r>
        <w:t xml:space="preserve">the other converter mangles blindly — and 13 genuine source</w:t>
      </w:r>
      <w:r>
        <w:t xml:space="preserve"> </w:t>
      </w:r>
      <w:r>
        <w:t xml:space="preserve">defects it exposed were filed for correction.</w:t>
      </w:r>
    </w:p>
    <w:p>
      <w:pPr>
        <w:pStyle w:val="FirstParagraph"/>
      </w:pPr>
      <w:r>
        <w:rPr>
          <w:b/>
          <w:bCs/>
        </w:rPr>
        <w:t xml:space="preserve">5. A tour of the nine panes</w:t>
      </w:r>
    </w:p>
    <w:p>
      <w:pPr>
        <w:pStyle w:val="BodyText"/>
      </w:pPr>
      <w:r>
        <w:rPr>
          <w:b/>
          <w:bCs/>
        </w:rPr>
        <w:t xml:space="preserve">Overlay — read with the dictionary underneath</w:t>
      </w:r>
    </w:p>
    <w:p>
      <w:pPr>
        <w:pStyle w:val="BodyText"/>
      </w:pPr>
      <w:r>
        <w:t xml:space="preserve">Open any ACIP text. Every word and phrase the dictionary knows is</w:t>
      </w:r>
      <w:r>
        <w:t xml:space="preserve"> </w:t>
      </w:r>
      <w:r>
        <w:t xml:space="preserve">shaded, with nested phrases shown inside longer ones. Clicking a word</w:t>
      </w:r>
      <w:r>
        <w:t xml:space="preserve"> </w:t>
      </w:r>
      <w:r>
        <w:t xml:space="preserve">shows its entry, its occurrences in the corpus with Geshe Michael’s</w:t>
      </w:r>
      <w:r>
        <w:t xml:space="preserve"> </w:t>
      </w:r>
      <w:r>
        <w:t xml:space="preserve">actual translations, and reference definitions. Spelling errors get a</w:t>
      </w:r>
      <w:r>
        <w:t xml:space="preserve"> </w:t>
      </w:r>
      <w:r>
        <w:t xml:space="preserve">red underline; grammatical particles that disagree with the classical</w:t>
      </w:r>
      <w:r>
        <w:t xml:space="preserve"> </w:t>
      </w:r>
      <w:r>
        <w:t xml:space="preserve">suffix rules get a gentle review mark. Even a word the dictionary does</w:t>
      </w:r>
      <w:r>
        <w:t xml:space="preserve"> </w:t>
      </w:r>
      <w:r>
        <w:t xml:space="preserve">not know is not left blank: it is checked against nearly half a million</w:t>
      </w:r>
      <w:r>
        <w:t xml:space="preserve"> </w:t>
      </w:r>
      <w:r>
        <w:t xml:space="preserve">attested word forms, so the reader learns at a glance whether it is a</w:t>
      </w:r>
      <w:r>
        <w:t xml:space="preserve"> </w:t>
      </w:r>
      <w:r>
        <w:t xml:space="preserve">real word awaiting an entry or a probable typo; and verbs show their</w:t>
      </w:r>
      <w:r>
        <w:t xml:space="preserve"> </w:t>
      </w:r>
      <w:r>
        <w:t xml:space="preserve">full tense paradigm from an openly-licensed verb database — both</w:t>
      </w:r>
      <w:r>
        <w:t xml:space="preserve"> </w:t>
      </w:r>
      <w:r>
        <w:t xml:space="preserve">clearly marked as reference, never as the master’s voice. A Display panel lets each reader</w:t>
      </w:r>
      <w:r>
        <w:t xml:space="preserve"> </w:t>
      </w:r>
      <w:r>
        <w:t xml:space="preserve">choose their own information density — text as Tibetan script, ACIP,</w:t>
      </w:r>
      <w:r>
        <w:t xml:space="preserve"> </w:t>
      </w:r>
      <w:r>
        <w:t xml:space="preserve">or Wylie, with separate switches for phonetics, definitions, corpus</w:t>
      </w:r>
      <w:r>
        <w:t xml:space="preserve"> </w:t>
      </w:r>
      <w:r>
        <w:t xml:space="preserve">usage, grammar marks, and each reference layer — and remembers the</w:t>
      </w:r>
      <w:r>
        <w:t xml:space="preserve"> </w:t>
      </w:r>
      <w:r>
        <w:t xml:space="preserve">choices. Two publishing tools live here as well: one-button export of</w:t>
      </w:r>
      <w:r>
        <w:t xml:space="preserve"> </w:t>
      </w:r>
      <w:r>
        <w:t xml:space="preserve">the whole text to print-ready Tibetan Unicode (page markers annotated,</w:t>
      </w:r>
      <w:r>
        <w:t xml:space="preserve"> </w:t>
      </w:r>
      <w:r>
        <w:t xml:space="preserve">correction brackets handled by the Project’s own conventions, classical</w:t>
      </w:r>
      <w:r>
        <w:t xml:space="preserve"> </w:t>
      </w:r>
      <w:r>
        <w:t xml:space="preserve">shad punctuation), and a translation-prep formatter that reproduces</w:t>
      </w:r>
      <w:r>
        <w:t xml:space="preserve"> </w:t>
      </w:r>
      <w:r>
        <w:t xml:space="preserve">Geshe Michael’s demonstrated Mixed Nuts workflow — flowing the raw</w:t>
      </w:r>
      <w:r>
        <w:t xml:space="preserve"> </w:t>
      </w:r>
      <w:r>
        <w:t xml:space="preserve">input, breaking paragraphs at double shads, and moving input-operator</w:t>
      </w:r>
      <w:r>
        <w:t xml:space="preserve"> </w:t>
      </w:r>
      <w:r>
        <w:t xml:space="preserve">brackets into folio-tagged notes.</w:t>
      </w:r>
    </w:p>
    <w:p>
      <w:pPr>
        <w:pStyle w:val="BodyText"/>
      </w:pPr>
      <w:r>
        <w:t xml:space="preserve">For texts of the Derge or Lhasa Kangyur and the Derge Tengyur, one more</w:t>
      </w:r>
      <w:r>
        <w:t xml:space="preserve"> </w:t>
      </w:r>
      <w:r>
        <w:t xml:space="preserve">button appears:</w:t>
      </w:r>
      <w:r>
        <w:t xml:space="preserve"> </w:t>
      </w:r>
      <w:r>
        <w:rPr>
          <w:i/>
          <w:iCs/>
        </w:rPr>
        <w:t xml:space="preserve">Follow along in scans.</w:t>
      </w:r>
      <w:r>
        <w:t xml:space="preserve"> </w:t>
      </w:r>
      <w:r>
        <w:t xml:space="preserve">The original woodblock page</w:t>
      </w:r>
      <w:r>
        <w:t xml:space="preserve"> </w:t>
      </w:r>
      <w:r>
        <w:t xml:space="preserve">images, served by the Buddhist Digital Resource Center from its public</w:t>
      </w:r>
      <w:r>
        <w:t xml:space="preserve"> </w:t>
      </w:r>
      <w:r>
        <w:t xml:space="preserve">archive, display directly beneath the text — and they turn their own</w:t>
      </w:r>
      <w:r>
        <w:t xml:space="preserve"> </w:t>
      </w:r>
      <w:r>
        <w:t xml:space="preserve">pages: as the cursor moves through the input, the scan follows the</w:t>
      </w:r>
      <w:r>
        <w:t xml:space="preserve"> </w:t>
      </w:r>
      <w:r>
        <w:t xml:space="preserve">folio marker at the cursor, with the current line marked by a soft</w:t>
      </w:r>
      <w:r>
        <w:t xml:space="preserve"> </w:t>
      </w:r>
      <w:r>
        <w:t xml:space="preserve">band (the input centers preserved the carving’s own line breaks, so</w:t>
      </w:r>
      <w:r>
        <w:t xml:space="preserve"> </w:t>
      </w:r>
      <w:r>
        <w:t xml:space="preserve">the line is known exactly; only the band’s position on the image is</w:t>
      </w:r>
      <w:r>
        <w:t xml:space="preserve"> </w:t>
      </w:r>
      <w:r>
        <w:t xml:space="preserve">approximate, and it says so). The folio-to-image mapping is BDRC’s own</w:t>
      </w:r>
      <w:r>
        <w:t xml:space="preserve"> </w:t>
      </w:r>
      <w:r>
        <w:t xml:space="preserve">catalog labeling — nothing is guessed — and pages are cached so a</w:t>
      </w:r>
      <w:r>
        <w:t xml:space="preserve"> </w:t>
      </w:r>
      <w:r>
        <w:t xml:space="preserve">text revisited costs nothing. Texts outside those catalogs (the</w:t>
      </w:r>
      <w:r>
        <w:t xml:space="preserve"> </w:t>
      </w:r>
      <w:r>
        <w:t xml:space="preserve">Sungbum, for instance) are linked by a title search against BDRC’s</w:t>
      </w:r>
      <w:r>
        <w:t xml:space="preserve"> </w:t>
      </w:r>
      <w:r>
        <w:t xml:space="preserve">database: the query is pre-filled from the text’s own opening line,</w:t>
      </w:r>
      <w:r>
        <w:t xml:space="preserve"> </w:t>
      </w:r>
      <w:r>
        <w:t xml:space="preserve">the translator confirms the right edition from the candidates — the</w:t>
      </w:r>
      <w:r>
        <w:t xml:space="preserve"> </w:t>
      </w:r>
      <w:r>
        <w:t xml:space="preserve">match is never asserted automatically — and the confirmed link is</w:t>
      </w:r>
      <w:r>
        <w:t xml:space="preserve"> </w:t>
      </w:r>
      <w:r>
        <w:t xml:space="preserve">remembered.</w:t>
      </w:r>
    </w:p>
    <w:p>
      <w:pPr>
        <w:pStyle w:val="BodyText"/>
      </w:pPr>
      <w:r>
        <w:rPr>
          <w:b/>
          <w:bCs/>
        </w:rPr>
        <w:t xml:space="preserve">Analysis — the eighteen-section passage analysis</w:t>
      </w:r>
    </w:p>
    <w:p>
      <w:pPr>
        <w:pStyle w:val="BodyText"/>
      </w:pPr>
      <w:r>
        <w:t xml:space="preserve">A passage is first analyzed by the deterministic engine (segmentation,</w:t>
      </w:r>
      <w:r>
        <w:t xml:space="preserve"> </w:t>
      </w:r>
      <w:r>
        <w:t xml:space="preserve">verified term anchors, corpus matches); those verified facts are</w:t>
      </w:r>
      <w:r>
        <w:t xml:space="preserve"> </w:t>
      </w:r>
      <w:r>
        <w:t xml:space="preserve">injected into the eighteen-section analysis template and an AI model</w:t>
      </w:r>
      <w:r>
        <w:t xml:space="preserve"> </w:t>
      </w:r>
      <w:r>
        <w:t xml:space="preserve">writes the full report, which the machine then re-checks</w:t>
      </w:r>
      <w:r>
        <w:t xml:space="preserve"> </w:t>
      </w:r>
      <w:r>
        <w:t xml:space="preserve">(reconstruction, dictionary quoting, text integrity). AI output is</w:t>
      </w:r>
      <w:r>
        <w:t xml:space="preserve"> </w:t>
      </w:r>
      <w:r>
        <w:t xml:space="preserve">always labeled as such. Reports save automatically.</w:t>
      </w:r>
    </w:p>
    <w:p>
      <w:pPr>
        <w:pStyle w:val="BodyText"/>
      </w:pPr>
      <w:r>
        <w:rPr>
          <w:b/>
          <w:bCs/>
        </w:rPr>
        <w:t xml:space="preserve">Trainer — learning to read</w:t>
      </w:r>
    </w:p>
    <w:p>
      <w:pPr>
        <w:pStyle w:val="BodyText"/>
      </w:pPr>
      <w:r>
        <w:t xml:space="preserve">Built directly on the pedagogy of breaking a passage into phrases and</w:t>
      </w:r>
      <w:r>
        <w:t xml:space="preserve"> </w:t>
      </w:r>
      <w:r>
        <w:t xml:space="preserve">clauses, then learning the order in which to read them. The learner</w:t>
      </w:r>
      <w:r>
        <w:t xml:space="preserve"> </w:t>
      </w:r>
      <w:r>
        <w:t xml:space="preserve">peels away layers one at a time: clause and phrase boundaries; each</w:t>
      </w:r>
      <w:r>
        <w:t xml:space="preserve"> </w:t>
      </w:r>
      <w:r>
        <w:t xml:space="preserve">particle’s grammatical role; a suggested reading order (find the verb</w:t>
      </w:r>
      <w:r>
        <w:t xml:space="preserve"> </w:t>
      </w:r>
      <w:r>
        <w:t xml:space="preserve">first) with the direction to read inside each phrase; vocabulary; the</w:t>
      </w:r>
      <w:r>
        <w:t xml:space="preserve"> </w:t>
      </w:r>
      <w:r>
        <w:t xml:space="preserve">answer key — Geshe Michael’s own English where the passage exists in</w:t>
      </w:r>
      <w:r>
        <w:t xml:space="preserve"> </w:t>
      </w:r>
      <w:r>
        <w:t xml:space="preserve">the corpus; and finally a complete grammatical parse in Wilson’s system:</w:t>
      </w:r>
      <w:r>
        <w:t xml:space="preserve"> </w:t>
      </w:r>
      <w:r>
        <w:t xml:space="preserve">every unit designated, case particles carrying their eight-case numbers</w:t>
      </w:r>
      <w:r>
        <w:t xml:space="preserve"> </w:t>
      </w:r>
      <w:r>
        <w:t xml:space="preserve">assigned by the verb’s class, and every syllable-dot named per the</w:t>
      </w:r>
      <w:r>
        <w:t xml:space="preserve"> </w:t>
      </w:r>
      <w:r>
        <w:t xml:space="preserve">Science of the Dots — reproducing the diagrams of Translating Buddhism</w:t>
      </w:r>
      <w:r>
        <w:t xml:space="preserve"> </w:t>
      </w:r>
      <w:r>
        <w:t xml:space="preserve">from Tibetan exactly.</w:t>
      </w:r>
    </w:p>
    <w:p>
      <w:pPr>
        <w:pStyle w:val="BodyText"/>
      </w:pPr>
      <w:r>
        <w:rPr>
          <w:b/>
          <w:bCs/>
        </w:rPr>
        <w:t xml:space="preserve">Drills — exercises that write themselves</w:t>
      </w:r>
    </w:p>
    <w:p>
      <w:pPr>
        <w:pStyle w:val="BodyText"/>
      </w:pPr>
      <w:r>
        <w:t xml:space="preserve">Every exercise is generated from a real corpus segment, so every answer</w:t>
      </w:r>
      <w:r>
        <w:t xml:space="preserve"> </w:t>
      </w:r>
      <w:r>
        <w:t xml:space="preserve">is the translator’s own text: restore the order of a scrambled clause;</w:t>
      </w:r>
      <w:r>
        <w:t xml:space="preserve"> </w:t>
      </w:r>
      <w:r>
        <w:t xml:space="preserve">pick the Tibetan chunk that fills a blank, given the English; choose the</w:t>
      </w:r>
      <w:r>
        <w:t xml:space="preserve"> </w:t>
      </w:r>
      <w:r>
        <w:t xml:space="preserve">correct particle variant (explained from the classical tables); read a</w:t>
      </w:r>
      <w:r>
        <w:t xml:space="preserve"> </w:t>
      </w:r>
      <w:r>
        <w:t xml:space="preserve">course in parallel, revealing the English only when needed; and review</w:t>
      </w:r>
      <w:r>
        <w:t xml:space="preserve"> </w:t>
      </w:r>
      <w:r>
        <w:t xml:space="preserve">vocabulary on a spaced-repetition schedule. The app quietly adapts:</w:t>
      </w:r>
      <w:r>
        <w:t xml:space="preserve"> </w:t>
      </w:r>
      <w:r>
        <w:t xml:space="preserve">words the learner clicks join their personal deck, missed skills are</w:t>
      </w:r>
      <w:r>
        <w:t xml:space="preserve"> </w:t>
      </w:r>
      <w:r>
        <w:t xml:space="preserve">named (</w:t>
      </w:r>
      <w:r>
        <w:t xml:space="preserve">“verb position”</w:t>
      </w:r>
      <w:r>
        <w:t xml:space="preserve">,</w:t>
      </w:r>
      <w:r>
        <w:t xml:space="preserve"> </w:t>
      </w:r>
      <w:r>
        <w:t xml:space="preserve">“genitive attachment”</w:t>
      </w:r>
      <w:r>
        <w:t xml:space="preserve">), and drill material is</w:t>
      </w:r>
      <w:r>
        <w:t xml:space="preserve"> </w:t>
      </w:r>
      <w:r>
        <w:t xml:space="preserve">chosen near the learner’s level.</w:t>
      </w:r>
    </w:p>
    <w:p>
      <w:pPr>
        <w:pStyle w:val="BodyText"/>
      </w:pPr>
      <w:r>
        <w:rPr>
          <w:b/>
          <w:bCs/>
        </w:rPr>
        <w:t xml:space="preserve">Draft — the working translator’s bench</w:t>
      </w:r>
    </w:p>
    <w:p>
      <w:pPr>
        <w:pStyle w:val="BodyText"/>
      </w:pPr>
      <w:r>
        <w:t xml:space="preserve">The source text splits into clauses; each clause shows its verified term</w:t>
      </w:r>
      <w:r>
        <w:t xml:space="preserve"> </w:t>
      </w:r>
      <w:r>
        <w:t xml:space="preserve">anchors; each term opens a full corpus concordance (how the master</w:t>
      </w:r>
      <w:r>
        <w:t xml:space="preserve"> </w:t>
      </w:r>
      <w:r>
        <w:t xml:space="preserve">rendered it, source by source). The translator writes English alongside</w:t>
      </w:r>
      <w:r>
        <w:t xml:space="preserve"> </w:t>
      </w:r>
      <w:r>
        <w:t xml:space="preserve">and presses one button to check terminology: terms whose equivalents do</w:t>
      </w:r>
      <w:r>
        <w:t xml:space="preserve"> </w:t>
      </w:r>
      <w:r>
        <w:t xml:space="preserve">not appear in the draft, one term rendered two ways, drafts leaning on</w:t>
      </w:r>
      <w:r>
        <w:t xml:space="preserve"> </w:t>
      </w:r>
      <w:r>
        <w:t xml:space="preserve">provisional glosses, and one English word serving two different Tibetan</w:t>
      </w:r>
      <w:r>
        <w:t xml:space="preserve"> </w:t>
      </w:r>
      <w:r>
        <w:t xml:space="preserve">terms are all flagged for review — never auto-corrected. Two</w:t>
      </w:r>
      <w:r>
        <w:t xml:space="preserve"> </w:t>
      </w:r>
      <w:r>
        <w:t xml:space="preserve">structural tools assist: automatic extraction of the text’s own topical</w:t>
      </w:r>
      <w:r>
        <w:t xml:space="preserve"> </w:t>
      </w:r>
      <w:r>
        <w:t xml:space="preserve">outline (sa bcad), and a verse meter check that names the meter and</w:t>
      </w:r>
      <w:r>
        <w:t xml:space="preserve"> </w:t>
      </w:r>
      <w:r>
        <w:t xml:space="preserve">flags broken lines. An optional AI</w:t>
      </w:r>
      <w:r>
        <w:t xml:space="preserve"> </w:t>
      </w:r>
      <w:r>
        <w:t xml:space="preserve">“back-check”</w:t>
      </w:r>
      <w:r>
        <w:t xml:space="preserve"> </w:t>
      </w:r>
      <w:r>
        <w:t xml:space="preserve">produces a coverage diff</w:t>
      </w:r>
      <w:r>
        <w:t xml:space="preserve"> </w:t>
      </w:r>
      <w:r>
        <w:t xml:space="preserve">(omissions and additions only — it is forbidden to retranslate) and is</w:t>
      </w:r>
      <w:r>
        <w:t xml:space="preserve"> </w:t>
      </w:r>
      <w:r>
        <w:t xml:space="preserve">banner-labeled as machine output.</w:t>
      </w:r>
    </w:p>
    <w:p>
      <w:pPr>
        <w:pStyle w:val="BodyText"/>
      </w:pPr>
      <w:r>
        <w:t xml:space="preserve">The Draft bench also carries the shared apparatus, described in section</w:t>
      </w:r>
      <w:r>
        <w:t xml:space="preserve"> </w:t>
      </w:r>
      <w:r>
        <w:t xml:space="preserve">6 below: one search box over every published footnote and bibliography</w:t>
      </w:r>
      <w:r>
        <w:t xml:space="preserve"> </w:t>
      </w:r>
      <w:r>
        <w:t xml:space="preserve">entry, one-click reuse with the citation attached, a composer that</w:t>
      </w:r>
      <w:r>
        <w:t xml:space="preserve"> </w:t>
      </w:r>
      <w:r>
        <w:t xml:space="preserve">assembles new bibliography entries in the house format exactly —</w:t>
      </w:r>
      <w:r>
        <w:t xml:space="preserve"> </w:t>
      </w:r>
      <w:r>
        <w:t xml:space="preserve">filling itself in from the Project’s catalog for 1,846 known works by</w:t>
      </w:r>
      <w:r>
        <w:t xml:space="preserve"> </w:t>
      </w:r>
      <w:r>
        <w:t xml:space="preserve">their ACIP number — and quotation detection — when the text being translated quotes a work</w:t>
      </w:r>
      <w:r>
        <w:t xml:space="preserve"> </w:t>
      </w:r>
      <w:r>
        <w:t xml:space="preserve">that exists in the corpus, the app finds the quotation, shows how the</w:t>
      </w:r>
      <w:r>
        <w:t xml:space="preserve"> </w:t>
      </w:r>
      <w:r>
        <w:t xml:space="preserve">master already rendered those lines, and offers the published</w:t>
      </w:r>
      <w:r>
        <w:t xml:space="preserve"> </w:t>
      </w:r>
      <w:r>
        <w:t xml:space="preserve">bibliography entry and any published footnotes on that passage. A</w:t>
      </w:r>
      <w:r>
        <w:t xml:space="preserve"> </w:t>
      </w:r>
      <w:r>
        <w:t xml:space="preserve">draft can be exported as a rich-text file in which marked name-parts</w:t>
      </w:r>
      <w:r>
        <w:t xml:space="preserve"> </w:t>
      </w:r>
      <w:r>
        <w:t xml:space="preserve">become true italics, following the published convention for names</w:t>
      </w:r>
      <w:r>
        <w:t xml:space="preserve"> </w:t>
      </w:r>
      <w:r>
        <w:t xml:space="preserve">woven into verse.</w:t>
      </w:r>
    </w:p>
    <w:p>
      <w:pPr>
        <w:pStyle w:val="BodyText"/>
      </w:pPr>
      <w:r>
        <w:rPr>
          <w:b/>
          <w:bCs/>
        </w:rPr>
        <w:t xml:space="preserve">Library — the translator’s own shelf</w:t>
      </w:r>
    </w:p>
    <w:p>
      <w:pPr>
        <w:pStyle w:val="BodyText"/>
      </w:pPr>
      <w:r>
        <w:t xml:space="preserve">The user’s text collection lives here: the complete ACIP Kangyur,</w:t>
      </w:r>
      <w:r>
        <w:t xml:space="preserve"> </w:t>
      </w:r>
      <w:r>
        <w:t xml:space="preserve">Tengyur, and Sungbum install from the Asian Legacy Library’s own</w:t>
      </w:r>
      <w:r>
        <w:t xml:space="preserve"> </w:t>
      </w:r>
      <w:r>
        <w:t xml:space="preserve">archive files; personal materials import alongside (Word documents</w:t>
      </w:r>
      <w:r>
        <w:t xml:space="preserve"> </w:t>
      </w:r>
      <w:r>
        <w:t xml:space="preserve">convert automatically). A browsable tree decodes every catalog file</w:t>
      </w:r>
      <w:r>
        <w:t xml:space="preserve"> </w:t>
      </w:r>
      <w:r>
        <w:t xml:space="preserve">name into its provenance — collection, text number, verification</w:t>
      </w:r>
      <w:r>
        <w:t xml:space="preserve"> </w:t>
      </w:r>
      <w:r>
        <w:t xml:space="preserve">level, language — with direct links to the original scans on BDRC</w:t>
      </w:r>
      <w:r>
        <w:t xml:space="preserve"> </w:t>
      </w:r>
      <w:r>
        <w:t xml:space="preserve">where the catalogs align. Name search, filters by collection and</w:t>
      </w:r>
      <w:r>
        <w:t xml:space="preserve"> </w:t>
      </w:r>
      <w:r>
        <w:t xml:space="preserve">verification status, and a recently-opened list make a</w:t>
      </w:r>
      <w:r>
        <w:t xml:space="preserve"> </w:t>
      </w:r>
      <w:r>
        <w:t xml:space="preserve">hundred-thousand-page canon feel close at hand; a prebuilt search</w:t>
      </w:r>
      <w:r>
        <w:t xml:space="preserve"> </w:t>
      </w:r>
      <w:r>
        <w:t xml:space="preserve">index answers library-wide queries instantly; and a flat list view</w:t>
      </w:r>
      <w:r>
        <w:t xml:space="preserve"> </w:t>
      </w:r>
      <w:r>
        <w:t xml:space="preserve">lays the whole shelf out as one sortable catalog table — now showing</w:t>
      </w:r>
      <w:r>
        <w:t xml:space="preserve"> </w:t>
      </w:r>
      <w:r>
        <w:t xml:space="preserve">each work’s English title wherever the Project’s catalogs record one. Scanned texts can be</w:t>
      </w:r>
      <w:r>
        <w:t xml:space="preserve"> </w:t>
      </w:r>
      <w:r>
        <w:t xml:space="preserve">handed to BDRC’s free Tibetan OCR application, and anything that comes</w:t>
      </w:r>
      <w:r>
        <w:t xml:space="preserve"> </w:t>
      </w:r>
      <w:r>
        <w:t xml:space="preserve">back is treated with the Project’s own discipline: OCR output is</w:t>
      </w:r>
      <w:r>
        <w:t xml:space="preserve"> </w:t>
      </w:r>
      <w:r>
        <w:t xml:space="preserve">tagged as unverified review material, and opening it runs an immediate</w:t>
      </w:r>
      <w:r>
        <w:t xml:space="preserve"> </w:t>
      </w:r>
      <w:r>
        <w:t xml:space="preserve">first-pass quality check that counts and marks every syllable failing</w:t>
      </w:r>
      <w:r>
        <w:t xml:space="preserve"> </w:t>
      </w:r>
      <w:r>
        <w:t xml:space="preserve">the classical legality rules — nothing is smoothed, everything is</w:t>
      </w:r>
      <w:r>
        <w:t xml:space="preserve"> </w:t>
      </w:r>
      <w:r>
        <w:t xml:space="preserve">flagged.</w:t>
      </w:r>
    </w:p>
    <w:p>
      <w:pPr>
        <w:pStyle w:val="BodyText"/>
      </w:pPr>
      <w:r>
        <w:rPr>
          <w:b/>
          <w:bCs/>
        </w:rPr>
        <w:t xml:space="preserve">Search — the Gofer grammar, restored</w:t>
      </w:r>
    </w:p>
    <w:p>
      <w:pPr>
        <w:pStyle w:val="BodyText"/>
      </w:pPr>
      <w:r>
        <w:t xml:space="preserve">The classic search grammar lives on: exact phrases, OR, and</w:t>
      </w:r>
      <w:r>
        <w:t xml:space="preserve"> </w:t>
      </w:r>
      <w:r>
        <w:t xml:space="preserve">NEAR-within-N-lines, over the corpus or over any folder of raw ACIP</w:t>
      </w:r>
      <w:r>
        <w:t xml:space="preserve"> </w:t>
      </w:r>
      <w:r>
        <w:t xml:space="preserve">files on disk.</w:t>
      </w:r>
    </w:p>
    <w:p>
      <w:pPr>
        <w:pStyle w:val="BodyText"/>
      </w:pPr>
      <w:r>
        <w:rPr>
          <w:b/>
          <w:bCs/>
        </w:rPr>
        <w:t xml:space="preserve">Convert — every writing system</w:t>
      </w:r>
    </w:p>
    <w:p>
      <w:pPr>
        <w:pStyle w:val="BodyText"/>
      </w:pPr>
      <w:r>
        <w:t xml:space="preserve">Type ACIP, transliteration, Sanskrit IAST, or Devanagari — the pane</w:t>
      </w:r>
      <w:r>
        <w:t xml:space="preserve"> </w:t>
      </w:r>
      <w:r>
        <w:t xml:space="preserve">detects which — and receive every representation at once:</w:t>
      </w:r>
      <w:r>
        <w:t xml:space="preserve"> </w:t>
      </w:r>
      <w:r>
        <w:t xml:space="preserve">transliteration, Tibetan script, pronunciation, both official ACIP</w:t>
      </w:r>
      <w:r>
        <w:t xml:space="preserve"> </w:t>
      </w:r>
      <w:r>
        <w:t xml:space="preserve">Sanskrit codes, Devanagari, and classical IPA.</w:t>
      </w:r>
    </w:p>
    <w:p>
      <w:pPr>
        <w:pStyle w:val="BodyText"/>
      </w:pPr>
      <w:r>
        <w:rPr>
          <w:b/>
          <w:bCs/>
        </w:rPr>
        <w:t xml:space="preserve">Lookup — the stacked dictionary</w:t>
      </w:r>
    </w:p>
    <w:p>
      <w:pPr>
        <w:pStyle w:val="BodyText"/>
      </w:pPr>
      <w:r>
        <w:t xml:space="preserve">One search across the master dictionary (tier-labeled), the reference</w:t>
      </w:r>
      <w:r>
        <w:t xml:space="preserve"> </w:t>
      </w:r>
      <w:r>
        <w:t xml:space="preserve">layers, and English-to-Tibetan reverse lookup.</w:t>
      </w:r>
    </w:p>
    <w:p>
      <w:pPr>
        <w:pStyle w:val="BodyText"/>
      </w:pPr>
      <w:r>
        <w:rPr>
          <w:b/>
          <w:bCs/>
        </w:rPr>
        <w:t xml:space="preserve">6. The shared apparatus — work performed once is never redone</w:t>
      </w:r>
    </w:p>
    <w:p>
      <w:pPr>
        <w:pStyle w:val="BodyText"/>
      </w:pPr>
      <w:r>
        <w:t xml:space="preserve">Geshe Michael has directed that footnotes created in the released Mixed</w:t>
      </w:r>
      <w:r>
        <w:t xml:space="preserve"> </w:t>
      </w:r>
      <w:r>
        <w:t xml:space="preserve">Nuts translations can and should be reused by translators as the same</w:t>
      </w:r>
      <w:r>
        <w:t xml:space="preserve"> </w:t>
      </w:r>
      <w:r>
        <w:t xml:space="preserve">topics come up. The application makes that directive a working system,</w:t>
      </w:r>
      <w:r>
        <w:t xml:space="preserve"> </w:t>
      </w:r>
      <w:r>
        <w:t xml:space="preserve">under a strict two-tier rule:</w:t>
      </w:r>
      <w:r>
        <w:t xml:space="preserve"> </w:t>
      </w:r>
      <w:r>
        <w:rPr>
          <w:b/>
          <w:bCs/>
        </w:rPr>
        <w:t xml:space="preserve">the official apparatus contains only</w:t>
      </w:r>
      <w:r>
        <w:rPr>
          <w:b/>
          <w:bCs/>
        </w:rPr>
        <w:t xml:space="preserve"> </w:t>
      </w:r>
      <w:r>
        <w:rPr>
          <w:b/>
          <w:bCs/>
        </w:rPr>
        <w:t xml:space="preserve">what has been published and fully approved</w:t>
      </w:r>
      <w:r>
        <w:t xml:space="preserve"> </w:t>
      </w:r>
      <w:r>
        <w:t xml:space="preserve">— today, 344 footnotes</w:t>
      </w:r>
      <w:r>
        <w:t xml:space="preserve"> </w:t>
      </w:r>
      <w:r>
        <w:t xml:space="preserve">and 138 bibliography entries extracted from the three released volumes</w:t>
      </w:r>
      <w:r>
        <w:t xml:space="preserve"> </w:t>
      </w:r>
      <w:r>
        <w:t xml:space="preserve">— and is compiled into two centralized MAIN documents that regenerate</w:t>
      </w:r>
      <w:r>
        <w:t xml:space="preserve"> </w:t>
      </w:r>
      <w:r>
        <w:t xml:space="preserve">automatically whenever a new volume is released. They are never edited</w:t>
      </w:r>
      <w:r>
        <w:t xml:space="preserve"> </w:t>
      </w:r>
      <w:r>
        <w:t xml:space="preserve">by hand and never fed from working drafts. Notes a translator proposes</w:t>
      </w:r>
      <w:r>
        <w:t xml:space="preserve"> </w:t>
      </w:r>
      <w:r>
        <w:t xml:space="preserve">along the way wait in a clearly-marked pending queue; there is no</w:t>
      </w:r>
      <w:r>
        <w:t xml:space="preserve"> </w:t>
      </w:r>
      <w:r>
        <w:t xml:space="preserve">“approve”</w:t>
      </w:r>
      <w:r>
        <w:t xml:space="preserve"> </w:t>
      </w:r>
      <w:r>
        <w:t xml:space="preserve">button in the software, because approval is an act of the</w:t>
      </w:r>
      <w:r>
        <w:t xml:space="preserve"> </w:t>
      </w:r>
      <w:r>
        <w:t xml:space="preserve">publishing process, not of the app. Every reuse carries its source</w:t>
      </w:r>
      <w:r>
        <w:t xml:space="preserve"> </w:t>
      </w:r>
      <w:r>
        <w:t xml:space="preserve">citation, so borrowed scholarship stays attributed; and because the</w:t>
      </w:r>
      <w:r>
        <w:t xml:space="preserve"> </w:t>
      </w:r>
      <w:r>
        <w:t xml:space="preserve">published bibliography entries embed the Project’s own catalog</w:t>
      </w:r>
      <w:r>
        <w:t xml:space="preserve"> </w:t>
      </w:r>
      <w:r>
        <w:t xml:space="preserve">numbers, a detected quotation, its citation, its bibliography entry,</w:t>
      </w:r>
      <w:r>
        <w:t xml:space="preserve"> </w:t>
      </w:r>
      <w:r>
        <w:t xml:space="preserve">and its published footnotes all connect to one another — and to the</w:t>
      </w:r>
      <w:r>
        <w:t xml:space="preserve"> </w:t>
      </w:r>
      <w:r>
        <w:t xml:space="preserve">original woodblock scans — through one deterministic chain.</w:t>
      </w:r>
    </w:p>
    <w:p>
      <w:pPr>
        <w:pStyle w:val="BodyText"/>
      </w:pPr>
      <w:r>
        <w:rPr>
          <w:b/>
          <w:bCs/>
        </w:rPr>
        <w:t xml:space="preserve">7. The grammar layer</w:t>
      </w:r>
    </w:p>
    <w:p>
      <w:pPr>
        <w:pStyle w:val="BodyText"/>
      </w:pPr>
      <w:r>
        <w:t xml:space="preserve">A deterministic grammar engine, built as rule tables after the framework</w:t>
      </w:r>
      <w:r>
        <w:t xml:space="preserve"> </w:t>
      </w:r>
      <w:r>
        <w:t xml:space="preserve">of Wilson’s Translating Buddhism from Tibetan, underlies the Trainer and</w:t>
      </w:r>
      <w:r>
        <w:t xml:space="preserve"> </w:t>
      </w:r>
      <w:r>
        <w:t xml:space="preserve">Overlay: the complete case-particle system with suffix-agreement</w:t>
      </w:r>
      <w:r>
        <w:t xml:space="preserve"> </w:t>
      </w:r>
      <w:r>
        <w:t xml:space="preserve">checking (calibrated against the corpus — 95.8% of one hundred seven</w:t>
      </w:r>
      <w:r>
        <w:t xml:space="preserve"> </w:t>
      </w:r>
      <w:r>
        <w:t xml:space="preserve">thousand particle pairs agree, and the exceptions are precisely the</w:t>
      </w:r>
      <w:r>
        <w:t xml:space="preserve"> </w:t>
      </w:r>
      <w:r>
        <w:t xml:space="preserve">famous da-drag stems); clause segmentation with honest disambiguation of</w:t>
      </w:r>
      <w:r>
        <w:t xml:space="preserve"> </w:t>
      </w:r>
      <w:r>
        <w:t xml:space="preserve">the particle na; phrase chunking by case roles; verb identification from</w:t>
      </w:r>
      <w:r>
        <w:t xml:space="preserve"> </w:t>
      </w:r>
      <w:r>
        <w:t xml:space="preserve">the dictionary’s own tense data (never a guess — 69.5% of the corpus’</w:t>
      </w:r>
      <w:r>
        <w:t xml:space="preserve"> </w:t>
      </w:r>
      <w:r>
        <w:t xml:space="preserve">147,902 clauses are identified with evidence, the rest say so); and</w:t>
      </w:r>
      <w:r>
        <w:t xml:space="preserve"> </w:t>
      </w:r>
      <w:r>
        <w:t xml:space="preserve">Wilson’s eight verb classes, which correct the reading guidance —</w:t>
      </w:r>
      <w:r>
        <w:t xml:space="preserve"> </w:t>
      </w:r>
      <w:r>
        <w:t xml:space="preserve">under a verb of absence, for example, the instrumental-looking phrase is</w:t>
      </w:r>
      <w:r>
        <w:t xml:space="preserve"> </w:t>
      </w:r>
      <w:r>
        <w:t xml:space="preserve">“empty OF x”</w:t>
      </w:r>
      <w:r>
        <w:t xml:space="preserve">, not an agent. On top of the classes sits the full per-unit</w:t>
      </w:r>
      <w:r>
        <w:t xml:space="preserve"> </w:t>
      </w:r>
      <w:r>
        <w:t xml:space="preserve">parse: Wilson’s eight cases assigned contextually by verb class,</w:t>
      </w:r>
      <w:r>
        <w:t xml:space="preserve"> </w:t>
      </w:r>
      <w:r>
        <w:t xml:space="preserve">negation and infinitive constructions made transparent, and his</w:t>
      </w:r>
      <w:r>
        <w:t xml:space="preserve"> </w:t>
      </w:r>
      <w:r>
        <w:t xml:space="preserve">“Science</w:t>
      </w:r>
      <w:r>
        <w:t xml:space="preserve"> </w:t>
      </w:r>
      <w:r>
        <w:t xml:space="preserve">of the Dots”</w:t>
      </w:r>
      <w:r>
        <w:t xml:space="preserve"> </w:t>
      </w:r>
      <w:r>
        <w:t xml:space="preserve">— a designation for every syllable-separating dot (S, C</w:t>
      </w:r>
      <w:r>
        <w:t xml:space="preserve"> </w:t>
      </w:r>
      <w:r>
        <w:t xml:space="preserve">with its case number, NOM, SP, V, VB) that reproduces the book’s own</w:t>
      </w:r>
      <w:r>
        <w:t xml:space="preserve"> </w:t>
      </w:r>
      <w:r>
        <w:t xml:space="preserve">worked examples.</w:t>
      </w:r>
    </w:p>
    <w:p>
      <w:pPr>
        <w:pStyle w:val="BodyText"/>
      </w:pPr>
      <w:r>
        <w:rPr>
          <w:b/>
          <w:bCs/>
        </w:rPr>
        <w:t xml:space="preserve">8. Verification</w:t>
      </w:r>
    </w:p>
    <w:p>
      <w:pPr>
        <w:pStyle w:val="BodyText"/>
      </w:pPr>
      <w:r>
        <w:t xml:space="preserve">The application carries twenty-three automated test suites — batteries for</w:t>
      </w:r>
      <w:r>
        <w:t xml:space="preserve"> </w:t>
      </w:r>
      <w:r>
        <w:t xml:space="preserve">every engine, grammar calibrations against the full corpus,</w:t>
      </w:r>
      <w:r>
        <w:t xml:space="preserve"> </w:t>
      </w:r>
      <w:r>
        <w:t xml:space="preserve">exercise-generator checks, and end-to-end smoke tests — all of which</w:t>
      </w:r>
      <w:r>
        <w:t xml:space="preserve"> </w:t>
      </w:r>
      <w:r>
        <w:t xml:space="preserve">must pass before any change ships. Where a result cannot be verified</w:t>
      </w:r>
      <w:r>
        <w:t xml:space="preserve"> </w:t>
      </w:r>
      <w:r>
        <w:t xml:space="preserve">mechanically, the interface says so rather than implying certainty.</w:t>
      </w:r>
    </w:p>
    <w:p>
      <w:pPr>
        <w:pStyle w:val="BodyText"/>
      </w:pPr>
      <w:r>
        <w:t xml:space="preserve">The script engine has now also been cross-examined by an outside</w:t>
      </w:r>
      <w:r>
        <w:t xml:space="preserve"> </w:t>
      </w:r>
      <w:r>
        <w:t xml:space="preserve">witness: an independent open-source converter, run over all 105,634</w:t>
      </w:r>
      <w:r>
        <w:t xml:space="preserve"> </w:t>
      </w:r>
      <w:r>
        <w:t xml:space="preserve">dictionary entries. The two agree exactly on 91.4% — and nearly every</w:t>
      </w:r>
      <w:r>
        <w:t xml:space="preserve"> </w:t>
      </w:r>
      <w:r>
        <w:t xml:space="preserve">disagreement is a place where this tool’s engine refuses to guess at</w:t>
      </w:r>
      <w:r>
        <w:t xml:space="preserve"> </w:t>
      </w:r>
      <w:r>
        <w:t xml:space="preserve">defective input while the other converts it blindly, a direct</w:t>
      </w:r>
      <w:r>
        <w:t xml:space="preserve"> </w:t>
      </w:r>
      <w:r>
        <w:t xml:space="preserve">vindication of the never-guess rule. The comparison also surfaced</w:t>
      </w:r>
      <w:r>
        <w:t xml:space="preserve"> </w:t>
      </w:r>
      <w:r>
        <w:t xml:space="preserve">thirteen genuine defects in the source data, now reported back to the</w:t>
      </w:r>
      <w:r>
        <w:t xml:space="preserve"> </w:t>
      </w:r>
      <w:r>
        <w:t xml:space="preserve">dictionary project for correction.</w:t>
      </w:r>
    </w:p>
    <w:p>
      <w:pPr>
        <w:pStyle w:val="BodyText"/>
      </w:pPr>
      <w:r>
        <w:rPr>
          <w:b/>
          <w:bCs/>
        </w:rPr>
        <w:t xml:space="preserve">8a. Time itself</w:t>
      </w:r>
    </w:p>
    <w:p>
      <w:pPr>
        <w:pStyle w:val="BodyText"/>
      </w:pPr>
      <w:r>
        <w:t xml:space="preserve">The Convert pane now answers the translator’s dating questions in</w:t>
      </w:r>
      <w:r>
        <w:t xml:space="preserve"> </w:t>
      </w:r>
      <w:r>
        <w:t xml:space="preserve">every direction: a western year yields its full Tibetan designation</w:t>
      </w:r>
      <w:r>
        <w:t xml:space="preserve"> </w:t>
      </w:r>
      <w:r>
        <w:t xml:space="preserve">(element, animal, rabjung cycle); an element-animal pair yields its</w:t>
      </w:r>
      <w:r>
        <w:t xml:space="preserve"> </w:t>
      </w:r>
      <w:r>
        <w:t xml:space="preserve">years; a full Tibetan date (lunar day, month, year) yields the western</w:t>
      </w:r>
      <w:r>
        <w:t xml:space="preserve"> </w:t>
      </w:r>
      <w:r>
        <w:t xml:space="preserve">weekday and date — and the reverse — with the calendar’s own</w:t>
      </w:r>
      <w:r>
        <w:t xml:space="preserve"> </w:t>
      </w:r>
      <w:r>
        <w:t xml:space="preserve">irregularities honored rather than smoothed: doubled and omitted lunar</w:t>
      </w:r>
      <w:r>
        <w:t xml:space="preserve"> </w:t>
      </w:r>
      <w:r>
        <w:t xml:space="preserve">days are named as such, intercalary months appear in their correct</w:t>
      </w:r>
      <w:r>
        <w:t xml:space="preserve"> </w:t>
      </w:r>
      <w:r>
        <w:t xml:space="preserve">place with their correct names, and dates before the epoch are refused</w:t>
      </w:r>
      <w:r>
        <w:t xml:space="preserve"> </w:t>
      </w:r>
      <w:r>
        <w:t xml:space="preserve">rather than approximated.</w:t>
      </w:r>
    </w:p>
    <w:p>
      <w:pPr>
        <w:pStyle w:val="BodyText"/>
      </w:pPr>
      <w:r>
        <w:rPr>
          <w:b/>
          <w:bCs/>
        </w:rPr>
        <w:t xml:space="preserve">9. The road ahead</w:t>
      </w:r>
    </w:p>
    <w:p>
      <w:pPr>
        <w:numPr>
          <w:ilvl w:val="0"/>
          <w:numId w:val="1003"/>
        </w:numPr>
      </w:pPr>
      <w:r>
        <w:t xml:space="preserve">The Master Catalog harvest is in: 2,955 paired titles now feed the</w:t>
      </w:r>
      <w:r>
        <w:t xml:space="preserve"> </w:t>
      </w:r>
      <w:r>
        <w:t xml:space="preserve">corpus, the bibliography composer fills itself in, and the Library</w:t>
      </w:r>
      <w:r>
        <w:t xml:space="preserve"> </w:t>
      </w:r>
      <w:r>
        <w:t xml:space="preserve">shows English titles. One ruling remains — whether the catalog’s</w:t>
      </w:r>
      <w:r>
        <w:t xml:space="preserve"> </w:t>
      </w:r>
      <w:r>
        <w:t xml:space="preserve">English titles stand as Geshe Michael’s own binding equivalents (he</w:t>
      </w:r>
      <w:r>
        <w:t xml:space="preserve"> </w:t>
      </w:r>
      <w:r>
        <w:t xml:space="preserve">directed the cataloging) or as a labeled reference layer.</w:t>
      </w:r>
    </w:p>
    <w:p>
      <w:pPr>
        <w:numPr>
          <w:ilvl w:val="0"/>
          <w:numId w:val="1003"/>
        </w:numPr>
      </w:pPr>
      <w:r>
        <w:t xml:space="preserve">The compilation of Geshe Michael’s translation standards continues:</w:t>
      </w:r>
      <w:r>
        <w:t xml:space="preserve"> </w:t>
      </w:r>
      <w:r>
        <w:t xml:space="preserve">eleven sourced standards so far, mined from the published volumes’</w:t>
      </w:r>
      <w:r>
        <w:t xml:space="preserve"> </w:t>
      </w:r>
      <w:r>
        <w:t xml:space="preserve">own notes and prefaces — several already running as software</w:t>
      </w:r>
      <w:r>
        <w:t xml:space="preserve"> </w:t>
      </w:r>
      <w:r>
        <w:t xml:space="preserve">features (the technical-spelling apparatus, italicized name-parts in</w:t>
      </w:r>
      <w:r>
        <w:t xml:space="preserve"> </w:t>
      </w:r>
      <w:r>
        <w:t xml:space="preserve">export) — with a prepared review sheet so proposed footnotes can be</w:t>
      </w:r>
      <w:r>
        <w:t xml:space="preserve"> </w:t>
      </w:r>
      <w:r>
        <w:t xml:space="preserve">approved in his own sessions, never in the software.</w:t>
      </w:r>
    </w:p>
    <w:p>
      <w:pPr>
        <w:numPr>
          <w:ilvl w:val="0"/>
          <w:numId w:val="1003"/>
        </w:numPr>
      </w:pPr>
      <w:r>
        <w:t xml:space="preserve">A completed worldwide survey of open Tibetan software and data now</w:t>
      </w:r>
      <w:r>
        <w:t xml:space="preserve"> </w:t>
      </w:r>
      <w:r>
        <w:t xml:space="preserve">gives the project a vetted, license-checked menu of integrations:</w:t>
      </w:r>
      <w:r>
        <w:t xml:space="preserve"> </w:t>
      </w:r>
      <w:r>
        <w:t xml:space="preserve">next is a proven word-segmentation engine (port under way), then a</w:t>
      </w:r>
      <w:r>
        <w:t xml:space="preserve"> </w:t>
      </w:r>
      <w:r>
        <w:t xml:space="preserve">classical calendar engine for dating colophons. The survey also</w:t>
      </w:r>
      <w:r>
        <w:t xml:space="preserve"> </w:t>
      </w:r>
      <w:r>
        <w:t xml:space="preserve">confirmed that several of this tool’s layers — the verse meter,</w:t>
      </w:r>
      <w:r>
        <w:t xml:space="preserve"> </w:t>
      </w:r>
      <w:r>
        <w:t xml:space="preserve">the grammar rule engine, the Science of the Dots — exist nowhere</w:t>
      </w:r>
      <w:r>
        <w:t xml:space="preserve"> </w:t>
      </w:r>
      <w:r>
        <w:t xml:space="preserve">else in the field.</w:t>
      </w:r>
    </w:p>
    <w:p>
      <w:pPr>
        <w:numPr>
          <w:ilvl w:val="0"/>
          <w:numId w:val="1003"/>
        </w:numPr>
      </w:pPr>
      <w:r>
        <w:t xml:space="preserve">The input-center formatter: converting raw input-center documents to</w:t>
      </w:r>
      <w:r>
        <w:t xml:space="preserve"> </w:t>
      </w:r>
      <w:r>
        <w:t xml:space="preserve">finished Tibetan Unicode, once the conversion standards document is</w:t>
      </w:r>
      <w:r>
        <w:t xml:space="preserve"> </w:t>
      </w:r>
      <w:r>
        <w:t xml:space="preserve">supplied.</w:t>
      </w:r>
    </w:p>
    <w:p>
      <w:pPr>
        <w:numPr>
          <w:ilvl w:val="0"/>
          <w:numId w:val="1003"/>
        </w:numPr>
      </w:pPr>
      <w:r>
        <w:t xml:space="preserve">Embedded Tibetan OCR (BDRC’s open models, license permitting), which</w:t>
      </w:r>
      <w:r>
        <w:t xml:space="preserve"> </w:t>
      </w:r>
      <w:r>
        <w:t xml:space="preserve">also unlocks word-level scan following.</w:t>
      </w:r>
    </w:p>
    <w:p>
      <w:pPr>
        <w:numPr>
          <w:ilvl w:val="0"/>
          <w:numId w:val="1003"/>
        </w:numPr>
      </w:pPr>
      <w:r>
        <w:t xml:space="preserve">Windows and Linux builds for the input centers.</w:t>
      </w:r>
    </w:p>
    <w:p>
      <w:pPr>
        <w:pStyle w:val="FirstParagraph"/>
      </w:pPr>
      <w:r>
        <w:rPr>
          <w:i/>
          <w:iCs/>
        </w:rPr>
        <w:t xml:space="preserve">Prepared with reverence for the lineage of translation this tool exists</w:t>
      </w:r>
      <w:r>
        <w:rPr>
          <w:i/>
          <w:iCs/>
        </w:rPr>
        <w:t xml:space="preserve"> </w:t>
      </w:r>
      <w:r>
        <w:rPr>
          <w:i/>
          <w:iCs/>
        </w:rPr>
        <w:t xml:space="preserve">to serve.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2026-08-08T01:29:11Z</dcterms:created>
  <dcterms:modified xsi:type="dcterms:W3CDTF">2026-08-08T01:29:11Z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