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uncataloged folder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the</w:t>
      </w:r>
      <w:r>
        <w:t xml:space="preserve"> </w:t>
      </w:r>
      <w:r>
        <w:rPr>
          <w:b/>
          <w:bCs/>
        </w:rPr>
        <w:t xml:space="preserve">Choose uncataloged folder…</w:t>
      </w:r>
      <w:r>
        <w:t xml:space="preserve"> </w:t>
      </w:r>
      <w:r>
        <w:t xml:space="preserve">button with the census line beside it, then a split: the file</w:t>
      </w:r>
      <w:r>
        <w:t xml:space="preserve"> </w:t>
      </w:r>
      <w:r>
        <w:t xml:space="preserve">table on the left, the file panel on the right.</w:t>
      </w:r>
    </w:p>
    <w:bookmarkStart w:id="117" w:name="choosing-the-uncataloged-folder"/>
    <w:p>
      <w:pPr>
        <w:pStyle w:val="Heading2"/>
      </w:pPr>
      <w:r>
        <w:t xml:space="preserve">14.1 Choosing the uncataloged folder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Choose uncataloged folder…</w:t>
      </w:r>
      <w:r>
        <w:t xml:space="preserve"> </w:t>
      </w:r>
      <w:r>
        <w:t xml:space="preserve">and pick the folder. It is</w:t>
      </w:r>
      <w:r>
        <w:t xml:space="preserve"> </w:t>
      </w:r>
      <w:r>
        <w:t xml:space="preserve">walked recursively, so a folder of subfolders is fine. The first</w:t>
      </w:r>
      <w:r>
        <w:t xml:space="preserve"> </w:t>
      </w:r>
      <w:r>
        <w:t xml:space="preserve">5,000 files are surveyed; if there are more, the census line says</w:t>
      </w:r>
      <w:r>
        <w:t xml:space="preserve"> </w:t>
      </w:r>
      <w:r>
        <w:t xml:space="preserve">so rather than quietly showing a partial picture.</w:t>
      </w:r>
    </w:p>
    <w:p>
      <w:pPr>
        <w:pStyle w:val="BodyText"/>
      </w:pPr>
      <w:r>
        <w:t xml:space="preserve">The folder is remembered between sessions and rescanned when the</w:t>
      </w:r>
      <w:r>
        <w:t xml:space="preserve"> </w:t>
      </w:r>
      <w:r>
        <w:t xml:space="preserve">app opens, so the intake you are working through is where you left</w:t>
      </w:r>
      <w:r>
        <w:t xml:space="preserve"> </w:t>
      </w:r>
      <w:r>
        <w:t xml:space="preserve">it.</w:t>
      </w:r>
    </w:p>
    <w:bookmarkEnd w:id="117"/>
    <w:bookmarkStart w:id="118" w:name="reading-the-census-line"/>
    <w:p>
      <w:pPr>
        <w:pStyle w:val="Heading2"/>
      </w:pPr>
      <w:r>
        <w:t xml:space="preserve">14.2 Reading the census line</w:t>
      </w:r>
    </w:p>
    <w:p>
      <w:pPr>
        <w:pStyle w:val="FirstParagraph"/>
      </w:pPr>
      <w:r>
        <w:t xml:space="preserve">The line beside the button is the whole survey in one sentence:</w:t>
      </w:r>
    </w:p>
    <w:p>
      <w:pPr>
        <w:pStyle w:val="BlockText"/>
      </w:pPr>
      <w:r>
        <w:rPr>
          <w:i/>
          <w:iCs/>
        </w:rPr>
        <w:t xml:space="preserve">37 file(s) · 12 already identifiable · 25 uncataloged (16 of</w:t>
      </w:r>
      <w:r>
        <w:rPr>
          <w:i/>
          <w:iCs/>
        </w:rPr>
        <w:t xml:space="preserve"> </w:t>
      </w:r>
      <w:r>
        <w:rPr>
          <w:i/>
          <w:iCs/>
        </w:rPr>
        <w:t xml:space="preserve">them 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already identifiable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row. For an identifiable file the panel gives the</w:t>
      </w:r>
      <w:r>
        <w:t xml:space="preserve"> </w:t>
      </w:r>
      <w:r>
        <w:t xml:space="preserve">decoded identity: collection, catalog number, verification status,</w:t>
      </w:r>
      <w:r>
        <w:t xml:space="preserve"> </w:t>
      </w:r>
      <w:r>
        <w:t xml:space="preserve">language, and whether the input is marked incomplete. For an</w:t>
      </w:r>
      <w:r>
        <w:t xml:space="preserve"> </w:t>
      </w:r>
      <w:r>
        <w:t xml:space="preserve">uncataloged file it says so plainly. Either way you get</w:t>
      </w:r>
      <w:r>
        <w:t xml:space="preserve"> </w:t>
      </w:r>
      <w:r>
        <w:rPr>
          <w:b/>
          <w:bCs/>
        </w:rPr>
        <w:t xml:space="preserve">Open in</w:t>
      </w:r>
      <w:r>
        <w:rPr>
          <w:b/>
          <w:bCs/>
        </w:rPr>
        <w:t xml:space="preserve"> </w:t>
      </w:r>
      <w:r>
        <w:rPr>
          <w:b/>
          <w:bCs/>
        </w:rPr>
        <w:t xml:space="preserve">the Overlay</w:t>
      </w:r>
      <w:r>
        <w:t xml:space="preserve"> </w:t>
      </w:r>
      <w:r>
        <w:t xml:space="preserve">to read the text itself, and the file’s opening</w:t>
      </w:r>
      <w:r>
        <w:t xml:space="preserve"> </w:t>
      </w:r>
      <w:r>
        <w:t xml:space="preserve">lines below.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what-the-workflow-will-do-next"/>
    <w:p>
      <w:pPr>
        <w:pStyle w:val="Heading2"/>
      </w:pPr>
      <w:r>
        <w:t xml:space="preserve">14.5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into the</w:t>
      </w:r>
      <w:r>
        <w:t xml:space="preserve"> </w:t>
      </w:r>
      <w:r>
        <w:t xml:space="preserve">library tree under its proper name.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3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3"/>
    <w:bookmarkStart w:id="124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4"/>
    <w:bookmarkStart w:id="125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5"/>
    <w:bookmarkStart w:id="126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1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1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1"/>
        </w:numPr>
      </w:pPr>
      <w:r>
        <w:t xml:space="preserve">the filing date;</w:t>
      </w:r>
    </w:p>
    <w:p>
      <w:pPr>
        <w:pStyle w:val="Compact"/>
        <w:numPr>
          <w:ilvl w:val="0"/>
          <w:numId w:val="1101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8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8"/>
    <w:bookmarkStart w:id="129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3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29"/>
    <w:bookmarkStart w:id="130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0"/>
    <w:bookmarkStart w:id="131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1"/>
    <w:bookmarkStart w:id="132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5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2"/>
    <w:bookmarkStart w:id="133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5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5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5"/>
    <w:bookmarkStart w:id="136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6"/>
    <w:bookmarkStart w:id="137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7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7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7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8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8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8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7"/>
    <w:bookmarkStart w:id="138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8"/>
    <w:bookmarkStart w:id="139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39"/>
    <w:bookmarkStart w:id="140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0"/>
    <w:bookmarkStart w:id="141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1"/>
    <w:bookmarkStart w:id="142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2"/>
    <w:bookmarkStart w:id="143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3"/>
    <w:bookmarkStart w:id="144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2026-08-19T18:51:09Z</dcterms:created>
  <dcterms:modified xsi:type="dcterms:W3CDTF">2026-08-19T18:51:09Z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