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seventeen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  <w:tc>
          <w:tcPr/>
          <w:p>
            <w:pPr>
              <w:pStyle w:val="Compact"/>
            </w:pPr>
            <w:r>
              <w:t xml:space="preserve">the page, 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The menu bar mirrors this structure exactly — one menu per workflow,</w:t>
      </w:r>
      <w:r>
        <w:t xml:space="preserve"> </w:t>
      </w:r>
      <w:r>
        <w:t xml:space="preserve">one submenu per pane, every function inside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Per Geshe Michael’s direction the text</w:t>
      </w:r>
      <w:r>
        <w:t xml:space="preserve"> </w:t>
      </w:r>
      <w:r>
        <w:t xml:space="preserve">opens CLEAN. Click any word: the LONGEST phrase the dictionary knows</w:t>
      </w:r>
      <w:r>
        <w:t xml:space="preserve"> </w:t>
      </w:r>
      <w:r>
        <w:t xml:space="preserve">at that spot highlights in gold (amber-leaning when the entry is</w:t>
      </w:r>
      <w:r>
        <w:t xml:space="preserve"> </w:t>
      </w:r>
      <w:r>
        <w:t xml:space="preserve">provisional); click again to step down to the next shorter phrase</w:t>
      </w:r>
      <w:r>
        <w:t xml:space="preserve"> </w:t>
      </w:r>
      <w:r>
        <w:t xml:space="preserve">inside, dropping a particle at a time. The Display panel’s</w:t>
      </w:r>
      <w:r>
        <w:t xml:space="preserve"> </w:t>
      </w:r>
      <w:r>
        <w:t xml:space="preserve">“shading”</w:t>
      </w:r>
      <w:r>
        <w:t xml:space="preserve"> </w:t>
      </w:r>
      <w:r>
        <w:t xml:space="preserve">control also offers ALL MATCHES — the coverage view where every</w:t>
      </w:r>
      <w:r>
        <w:t xml:space="preserve"> </w:t>
      </w:r>
      <w:r>
        <w:t xml:space="preserve">known word and phrase is washed in color, nested and tier-tinted.</w:t>
      </w:r>
      <w:r>
        <w:t xml:space="preserve"> </w:t>
      </w:r>
      <w:r>
        <w:t xml:space="preserve">In both modes: red wavy underline = the syllable fails the classical</w:t>
      </w:r>
      <w:r>
        <w:t xml:space="preserve"> </w:t>
      </w:r>
      <w:r>
        <w:t xml:space="preserve">legality rules; dotted amber = a particle disagreeing with the</w:t>
      </w:r>
      <w:r>
        <w:t xml:space="preserve"> </w:t>
      </w:r>
      <w:r>
        <w:t xml:space="preserve">preceding suffix (a review hint, never an auto-correction). A</w:t>
      </w:r>
      <w:r>
        <w:t xml:space="preserve"> </w:t>
      </w:r>
      <w:r>
        <w:t xml:space="preserve">complete canonical volume opens in about two seconds.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ranslate"/>
    <w:p>
      <w:pPr>
        <w:pStyle w:val="Heading2"/>
      </w:pPr>
      <w:r>
        <w:t xml:space="preserve">3. TRANSLATE</w:t>
      </w:r>
    </w:p>
    <w:bookmarkStart w:id="13" w:name="manuscript-the-writing-surface"/>
    <w:p>
      <w:pPr>
        <w:pStyle w:val="Heading3"/>
      </w:pPr>
      <w:r>
        <w:t xml:space="preserve">3.0 Manuscript — the writing surface</w:t>
      </w:r>
    </w:p>
    <w:p>
      <w:pPr>
        <w:pStyle w:val="FirstParagraph"/>
      </w:pPr>
      <w:r>
        <w:rPr>
          <w:i/>
          <w:iCs/>
        </w:rPr>
        <w:t xml:space="preserve">Translate → Manuscript. The manuscript itself, with the corpus one</w:t>
      </w:r>
      <w:r>
        <w:rPr>
          <w:i/>
          <w:iCs/>
        </w:rPr>
        <w:t xml:space="preserve"> </w:t>
      </w:r>
      <w:r>
        <w:rPr>
          <w:i/>
          <w:iCs/>
        </w:rPr>
        <w:t xml:space="preserve">keystroke away.</w:t>
      </w:r>
    </w:p>
    <w:p>
      <w:pPr>
        <w:pStyle w:val="BodyText"/>
      </w:pPr>
      <w:r>
        <w:t xml:space="preserve">Write in the big editor —</w:t>
      </w:r>
      <w:r>
        <w:t xml:space="preserve"> </w:t>
      </w:r>
      <w:r>
        <w:rPr>
          <w:b/>
          <w:bCs/>
        </w:rPr>
        <w:t xml:space="preserve">B / I / U</w:t>
      </w:r>
      <w:r>
        <w:t xml:space="preserve"> </w:t>
      </w:r>
      <w:r>
        <w:t xml:space="preserve">and the size control apply</w:t>
      </w:r>
      <w:r>
        <w:t xml:space="preserve"> </w:t>
      </w:r>
      <w:r>
        <w:t xml:space="preserve">to the selection, and pasted Tibetan script keeps its shape.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as…</w:t>
      </w:r>
      <w:r>
        <w:t xml:space="preserve"> </w:t>
      </w:r>
      <w:r>
        <w:t xml:space="preserve">names the manuscript (stored losslessly as .html); after that</w:t>
      </w:r>
      <w:r>
        <w:t xml:space="preserve"> </w:t>
      </w:r>
      <w:r>
        <w:t xml:space="preserve">it autosaves every minute,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is always there, and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RTF…</w:t>
      </w:r>
      <w:r>
        <w:t xml:space="preserve"> </w:t>
      </w:r>
      <w:r>
        <w:t xml:space="preserve">produces a file for Word or Pages. The pane reopens your</w:t>
      </w:r>
      <w:r>
        <w:t xml:space="preserve"> </w:t>
      </w:r>
      <w:r>
        <w:t xml:space="preserve">last manuscript on launch.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(toggle it with</w:t>
      </w:r>
      <w:r>
        <w:t xml:space="preserve"> </w:t>
      </w:r>
      <w:r>
        <w:t xml:space="preserve">“Search sidebar”</w:t>
      </w:r>
      <w:r>
        <w:t xml:space="preserve">) speaks the</w:t>
      </w:r>
      <w:r>
        <w:t xml:space="preserve"> </w:t>
      </w:r>
      <w:r>
        <w:t xml:space="preserve">full Gofer grammar —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stong OR bden</w:t>
      </w:r>
      <w:r>
        <w:t xml:space="preserve">,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over the aligned corpus. Every hit shows the</w:t>
      </w:r>
      <w:r>
        <w:t xml:space="preserve"> </w:t>
      </w:r>
      <w:r>
        <w:t xml:space="preserve">master’s English in bold beside the Tibetan, and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places</w:t>
      </w:r>
      <w:r>
        <w:t xml:space="preserve"> </w:t>
      </w:r>
      <w:r>
        <w:t xml:space="preserve">that English at your cursor: matched from his corpus, never</w:t>
      </w:r>
      <w:r>
        <w:t xml:space="preserve"> </w:t>
      </w:r>
      <w:r>
        <w:t xml:space="preserve">composed.</w:t>
      </w:r>
    </w:p>
    <w:bookmarkEnd w:id="13"/>
    <w:bookmarkStart w:id="14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4"/>
    <w:bookmarkStart w:id="15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5"/>
    <w:bookmarkStart w:id="16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search"/>
    <w:p>
      <w:pPr>
        <w:pStyle w:val="Heading2"/>
      </w:pPr>
      <w:r>
        <w:t xml:space="preserve">4. RESEARCH</w:t>
      </w:r>
    </w:p>
    <w:bookmarkStart w:id="18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8"/>
    <w:bookmarkStart w:id="19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9"/>
    <w:bookmarkStart w:id="20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20"/>
    <w:bookmarkStart w:id="21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1"/>
    <w:bookmarkStart w:id="22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learn"/>
    <w:p>
      <w:pPr>
        <w:pStyle w:val="Heading2"/>
      </w:pPr>
      <w:r>
        <w:t xml:space="preserve">5. LEARN</w:t>
      </w:r>
    </w:p>
    <w:bookmarkStart w:id="24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4"/>
    <w:bookmarkStart w:id="25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put"/>
    <w:p>
      <w:pPr>
        <w:pStyle w:val="Heading2"/>
      </w:pPr>
      <w:r>
        <w:t xml:space="preserve">6. INPUT</w:t>
      </w:r>
    </w:p>
    <w:bookmarkStart w:id="27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7"/>
    <w:bookmarkStart w:id="28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mmunity"/>
    <w:p>
      <w:pPr>
        <w:pStyle w:val="Heading2"/>
      </w:pPr>
      <w:r>
        <w:t xml:space="preserve">7. COMMUNITY</w:t>
      </w:r>
    </w:p>
    <w:bookmarkStart w:id="30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30"/>
    <w:bookmarkStart w:id="31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The menu bar mirrors the window: one menu per workflow</w:t>
      </w:r>
      <w:r>
        <w:t xml:space="preserve"> </w:t>
      </w:r>
      <w:r>
        <w:t xml:space="preserve">group, one submenu per pane, every function inside — reachable no</w:t>
      </w:r>
      <w:r>
        <w:t xml:space="preserve"> </w:t>
      </w:r>
      <w:r>
        <w:t xml:space="preserve">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78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3"/>
    <w:bookmarkStart w:id="36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4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4"/>
    <w:bookmarkStart w:id="35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(78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Seventeen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2026-08-11T04:57:05Z</dcterms:created>
  <dcterms:modified xsi:type="dcterms:W3CDTF">2026-08-11T04:57:05Z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