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vertAlign w:val="baseline"/>
          <w:lang w:val="en-US" w:eastAsia="zh-CN"/>
        </w:rPr>
      </w:pPr>
      <w:r>
        <w:rPr>
          <w:rFonts w:hint="eastAsia"/>
          <w:b/>
          <w:bCs/>
          <w:sz w:val="28"/>
          <w:szCs w:val="28"/>
          <w:lang w:eastAsia="zh-CN"/>
        </w:rPr>
        <w:t>沈机动力</w:t>
      </w:r>
      <w:r>
        <w:rPr>
          <w:rFonts w:hint="eastAsia"/>
          <w:b/>
          <w:bCs/>
          <w:sz w:val="28"/>
          <w:szCs w:val="28"/>
          <w:lang w:val="en-US" w:eastAsia="zh-CN"/>
        </w:rPr>
        <w:t>APP</w:t>
      </w:r>
      <w:r>
        <w:rPr>
          <w:rFonts w:hint="eastAsia"/>
          <w:b/>
          <w:bCs/>
          <w:sz w:val="28"/>
          <w:szCs w:val="28"/>
          <w:lang w:eastAsia="zh-CN"/>
        </w:rPr>
        <w:t>第一版整体修改与变更意见</w:t>
      </w:r>
    </w:p>
    <w:tbl>
      <w:tblPr>
        <w:tblStyle w:val="4"/>
        <w:tblW w:w="141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
        <w:gridCol w:w="8689"/>
        <w:gridCol w:w="1470"/>
        <w:gridCol w:w="1245"/>
        <w:gridCol w:w="960"/>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trPr>
        <w:tc>
          <w:tcPr>
            <w:tcW w:w="813" w:type="dxa"/>
          </w:tcPr>
          <w:p>
            <w:pPr>
              <w:jc w:val="left"/>
              <w:rPr>
                <w:rFonts w:hint="eastAsia"/>
                <w:b/>
                <w:bCs/>
                <w:sz w:val="28"/>
                <w:szCs w:val="28"/>
                <w:vertAlign w:val="baseline"/>
                <w:lang w:val="en-US" w:eastAsia="zh-CN"/>
              </w:rPr>
            </w:pPr>
            <w:r>
              <w:rPr>
                <w:rFonts w:hint="eastAsia"/>
                <w:b/>
                <w:bCs/>
                <w:sz w:val="28"/>
                <w:szCs w:val="28"/>
                <w:vertAlign w:val="baseline"/>
                <w:lang w:val="en-US" w:eastAsia="zh-CN"/>
              </w:rPr>
              <w:t>序号</w:t>
            </w:r>
          </w:p>
        </w:tc>
        <w:tc>
          <w:tcPr>
            <w:tcW w:w="8689" w:type="dxa"/>
          </w:tcPr>
          <w:p>
            <w:pPr>
              <w:jc w:val="left"/>
              <w:rPr>
                <w:rFonts w:hint="eastAsia"/>
                <w:b/>
                <w:bCs/>
                <w:sz w:val="28"/>
                <w:szCs w:val="28"/>
                <w:vertAlign w:val="baseline"/>
                <w:lang w:val="en-US" w:eastAsia="zh-CN"/>
              </w:rPr>
            </w:pPr>
            <w:r>
              <w:rPr>
                <w:rFonts w:hint="eastAsia"/>
                <w:b/>
                <w:bCs/>
                <w:sz w:val="28"/>
                <w:szCs w:val="28"/>
                <w:vertAlign w:val="baseline"/>
                <w:lang w:val="en-US" w:eastAsia="zh-CN"/>
              </w:rPr>
              <w:t>问题描述</w:t>
            </w:r>
          </w:p>
        </w:tc>
        <w:tc>
          <w:tcPr>
            <w:tcW w:w="1470" w:type="dxa"/>
            <w:shd w:val="clear" w:color="auto" w:fill="F1F1F1" w:themeFill="background1" w:themeFillShade="F2"/>
          </w:tcPr>
          <w:p>
            <w:pPr>
              <w:spacing w:line="480" w:lineRule="auto"/>
              <w:jc w:val="left"/>
              <w:rPr>
                <w:rFonts w:hint="eastAsia"/>
                <w:b/>
                <w:bCs/>
                <w:sz w:val="24"/>
                <w:szCs w:val="24"/>
                <w:vertAlign w:val="baseline"/>
                <w:lang w:val="en-US" w:eastAsia="zh-CN"/>
              </w:rPr>
            </w:pPr>
            <w:r>
              <w:rPr>
                <w:rFonts w:hint="eastAsia"/>
                <w:b/>
                <w:bCs/>
                <w:sz w:val="24"/>
                <w:szCs w:val="24"/>
                <w:vertAlign w:val="baseline"/>
                <w:lang w:val="en-US" w:eastAsia="zh-CN"/>
              </w:rPr>
              <w:t>可行性评估</w:t>
            </w:r>
          </w:p>
        </w:tc>
        <w:tc>
          <w:tcPr>
            <w:tcW w:w="1245" w:type="dxa"/>
            <w:shd w:val="clear" w:color="auto" w:fill="F1F1F1" w:themeFill="background1" w:themeFillShade="F2"/>
          </w:tcPr>
          <w:p>
            <w:pPr>
              <w:spacing w:line="480" w:lineRule="auto"/>
              <w:jc w:val="left"/>
              <w:rPr>
                <w:rFonts w:hint="eastAsia"/>
                <w:b/>
                <w:bCs/>
                <w:sz w:val="24"/>
                <w:szCs w:val="24"/>
                <w:vertAlign w:val="baseline"/>
                <w:lang w:val="en-US" w:eastAsia="zh-CN"/>
              </w:rPr>
            </w:pPr>
            <w:r>
              <w:rPr>
                <w:rFonts w:hint="eastAsia"/>
                <w:b/>
                <w:bCs/>
                <w:sz w:val="24"/>
                <w:szCs w:val="24"/>
                <w:vertAlign w:val="baseline"/>
                <w:lang w:val="en-US" w:eastAsia="zh-CN"/>
              </w:rPr>
              <w:t>预计日期</w:t>
            </w:r>
          </w:p>
        </w:tc>
        <w:tc>
          <w:tcPr>
            <w:tcW w:w="960" w:type="dxa"/>
            <w:shd w:val="clear" w:color="auto" w:fill="F1F1F1" w:themeFill="background1" w:themeFillShade="F2"/>
          </w:tcPr>
          <w:p>
            <w:pPr>
              <w:spacing w:line="480" w:lineRule="auto"/>
              <w:jc w:val="left"/>
              <w:rPr>
                <w:rFonts w:hint="eastAsia"/>
                <w:b/>
                <w:bCs/>
                <w:sz w:val="24"/>
                <w:szCs w:val="24"/>
                <w:vertAlign w:val="baseline"/>
                <w:lang w:val="en-US" w:eastAsia="zh-CN"/>
              </w:rPr>
            </w:pPr>
            <w:r>
              <w:rPr>
                <w:rFonts w:hint="eastAsia"/>
                <w:b/>
                <w:bCs/>
                <w:sz w:val="24"/>
                <w:szCs w:val="24"/>
                <w:vertAlign w:val="baseline"/>
                <w:lang w:val="en-US" w:eastAsia="zh-CN"/>
              </w:rPr>
              <w:t>已完成</w:t>
            </w:r>
          </w:p>
        </w:tc>
        <w:tc>
          <w:tcPr>
            <w:tcW w:w="971" w:type="dxa"/>
            <w:shd w:val="clear" w:color="auto" w:fill="F1F1F1" w:themeFill="background1" w:themeFillShade="F2"/>
          </w:tcPr>
          <w:p>
            <w:pPr>
              <w:spacing w:line="480" w:lineRule="auto"/>
              <w:jc w:val="left"/>
              <w:rPr>
                <w:rFonts w:hint="eastAsia"/>
                <w:b/>
                <w:bCs/>
                <w:sz w:val="24"/>
                <w:szCs w:val="24"/>
                <w:vertAlign w:val="baseline"/>
                <w:lang w:val="en-US" w:eastAsia="zh-CN"/>
              </w:rPr>
            </w:pPr>
            <w:r>
              <w:rPr>
                <w:rFonts w:hint="eastAsia"/>
                <w:b/>
                <w:bCs/>
                <w:sz w:val="24"/>
                <w:szCs w:val="24"/>
                <w:vertAlign w:val="baseline"/>
                <w:lang w:val="en-US" w:eastAsia="zh-CN"/>
              </w:rPr>
              <w:t>已确认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1</w:t>
            </w:r>
          </w:p>
        </w:tc>
        <w:tc>
          <w:tcPr>
            <w:tcW w:w="8689" w:type="dxa"/>
          </w:tcPr>
          <w:p>
            <w:pPr>
              <w:rPr>
                <w:rFonts w:hint="eastAsia"/>
                <w:sz w:val="24"/>
                <w:szCs w:val="24"/>
                <w:vertAlign w:val="baseline"/>
                <w:lang w:val="en-US" w:eastAsia="zh-CN"/>
              </w:rPr>
            </w:pPr>
            <w:r>
              <w:rPr>
                <w:rFonts w:hint="eastAsia"/>
                <w:sz w:val="24"/>
                <w:szCs w:val="24"/>
                <w:vertAlign w:val="baseline"/>
                <w:lang w:val="en-US" w:eastAsia="zh-CN"/>
              </w:rPr>
              <w:t>注：将修改页面与相对应的修改意见进行文字性描述，详情描述与截图可通过附件形式发送。</w:t>
            </w: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2</w:t>
            </w:r>
          </w:p>
        </w:tc>
        <w:tc>
          <w:tcPr>
            <w:tcW w:w="8689" w:type="dxa"/>
          </w:tcPr>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填写维修物流时电话显示+86的格式 需要改正</w:t>
            </w:r>
          </w:p>
          <w:p>
            <w:pPr>
              <w:rPr>
                <w:rFonts w:hint="eastAsia"/>
                <w:sz w:val="24"/>
                <w:szCs w:val="24"/>
                <w:vertAlign w:val="baseline"/>
                <w:lang w:val="en-US" w:eastAsia="zh-CN"/>
              </w:rPr>
            </w:pP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3</w:t>
            </w:r>
          </w:p>
        </w:tc>
        <w:tc>
          <w:tcPr>
            <w:tcW w:w="8689" w:type="dxa"/>
          </w:tcPr>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填写众筹信息的时候公司等数据要从企业认证中获得</w:t>
            </w:r>
          </w:p>
          <w:p>
            <w:pPr>
              <w:rPr>
                <w:rFonts w:hint="eastAsia"/>
                <w:sz w:val="24"/>
                <w:szCs w:val="24"/>
                <w:vertAlign w:val="baseline"/>
                <w:lang w:val="en-US" w:eastAsia="zh-CN"/>
              </w:rPr>
            </w:pP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color w:val="C00000"/>
                <w:sz w:val="28"/>
                <w:szCs w:val="28"/>
                <w:vertAlign w:val="baseline"/>
                <w:lang w:val="en-US" w:eastAsia="zh-CN"/>
              </w:rPr>
            </w:pPr>
            <w:r>
              <w:rPr>
                <w:rFonts w:hint="eastAsia"/>
                <w:color w:val="C00000"/>
                <w:sz w:val="28"/>
                <w:szCs w:val="28"/>
                <w:vertAlign w:val="baseline"/>
                <w:lang w:val="en-US" w:eastAsia="zh-CN"/>
              </w:rPr>
              <w:t>√</w:t>
            </w:r>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4</w:t>
            </w:r>
          </w:p>
        </w:tc>
        <w:tc>
          <w:tcPr>
            <w:tcW w:w="8689" w:type="dxa"/>
          </w:tcPr>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首页点击图片和按钮都可以进行众筹团购</w:t>
            </w:r>
          </w:p>
          <w:p>
            <w:pPr>
              <w:rPr>
                <w:rFonts w:hint="eastAsia"/>
                <w:sz w:val="24"/>
                <w:szCs w:val="24"/>
                <w:vertAlign w:val="baseline"/>
                <w:lang w:val="en-US" w:eastAsia="zh-CN"/>
              </w:rPr>
            </w:pP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r>
              <w:rPr>
                <w:rFonts w:hint="eastAsia"/>
                <w:color w:val="C00000"/>
                <w:sz w:val="28"/>
                <w:szCs w:val="28"/>
                <w:vertAlign w:val="baseline"/>
                <w:lang w:val="en-US" w:eastAsia="zh-CN"/>
              </w:rPr>
              <w:t>√</w:t>
            </w:r>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5</w:t>
            </w:r>
          </w:p>
        </w:tc>
        <w:tc>
          <w:tcPr>
            <w:tcW w:w="8689" w:type="dxa"/>
          </w:tcPr>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必须先个人认证再企业认证后才可以团购众筹</w:t>
            </w:r>
          </w:p>
          <w:p>
            <w:pPr>
              <w:rPr>
                <w:rFonts w:hint="eastAsia"/>
                <w:sz w:val="24"/>
                <w:szCs w:val="24"/>
                <w:vertAlign w:val="baseline"/>
                <w:lang w:val="en-US" w:eastAsia="zh-CN"/>
              </w:rPr>
            </w:pP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r>
              <w:rPr>
                <w:rFonts w:hint="eastAsia"/>
                <w:color w:val="C00000"/>
                <w:sz w:val="28"/>
                <w:szCs w:val="28"/>
                <w:vertAlign w:val="baseline"/>
                <w:lang w:val="en-US" w:eastAsia="zh-CN"/>
              </w:rPr>
              <w:t>√</w:t>
            </w:r>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6</w:t>
            </w:r>
          </w:p>
        </w:tc>
        <w:tc>
          <w:tcPr>
            <w:tcW w:w="8689" w:type="dxa"/>
          </w:tcPr>
          <w:p>
            <w:pPr>
              <w:rPr>
                <w:rFonts w:hint="eastAsia"/>
                <w:sz w:val="24"/>
                <w:szCs w:val="24"/>
                <w:vertAlign w:val="baseline"/>
                <w:lang w:val="en-US" w:eastAsia="zh-CN"/>
              </w:rPr>
            </w:pPr>
            <w:r>
              <w:rPr>
                <w:rFonts w:hint="eastAsia"/>
                <w:b w:val="0"/>
                <w:bCs w:val="0"/>
                <w:sz w:val="24"/>
                <w:szCs w:val="24"/>
                <w:lang w:val="en-US" w:eastAsia="zh-CN"/>
              </w:rPr>
              <w:t>底部消息吐出的所有人的消息消息点开要显示详情 点开后底部的数量要随之递减</w:t>
            </w: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bookmarkStart w:id="0" w:name="_GoBack"/>
            <w:bookmarkEnd w:id="0"/>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7</w:t>
            </w:r>
          </w:p>
        </w:tc>
        <w:tc>
          <w:tcPr>
            <w:tcW w:w="8689" w:type="dxa"/>
          </w:tcPr>
          <w:p>
            <w:pPr>
              <w:rPr>
                <w:rFonts w:hint="eastAsia"/>
                <w:sz w:val="24"/>
                <w:szCs w:val="24"/>
                <w:vertAlign w:val="baseline"/>
                <w:lang w:val="en-US" w:eastAsia="zh-CN"/>
              </w:rPr>
            </w:pPr>
            <w:r>
              <w:rPr>
                <w:rFonts w:hint="eastAsia"/>
                <w:sz w:val="24"/>
                <w:szCs w:val="24"/>
                <w:vertAlign w:val="baseline"/>
                <w:lang w:val="en-US" w:eastAsia="zh-CN"/>
              </w:rPr>
              <w:t>通过统一信用代码来认证公司，认证完的公司就不能再认证，一个人只能加一个企业，一个企业可以多个员工</w:t>
            </w: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8</w:t>
            </w:r>
          </w:p>
        </w:tc>
        <w:tc>
          <w:tcPr>
            <w:tcW w:w="8689" w:type="dxa"/>
          </w:tcPr>
          <w:p>
            <w:pPr>
              <w:rPr>
                <w:rFonts w:hint="eastAsia"/>
                <w:sz w:val="24"/>
                <w:szCs w:val="24"/>
                <w:vertAlign w:val="baseline"/>
                <w:lang w:val="en-US" w:eastAsia="zh-CN"/>
              </w:rPr>
            </w:pPr>
            <w:r>
              <w:rPr>
                <w:rFonts w:hint="eastAsia"/>
                <w:sz w:val="24"/>
                <w:szCs w:val="24"/>
                <w:vertAlign w:val="baseline"/>
                <w:lang w:val="en-US" w:eastAsia="zh-CN"/>
              </w:rPr>
              <w:t>我的收益中未签约不能显示</w:t>
            </w: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p>
        </w:tc>
        <w:tc>
          <w:tcPr>
            <w:tcW w:w="971" w:type="dxa"/>
            <w:shd w:val="clear" w:color="auto" w:fill="F1F1F1" w:themeFill="background1" w:themeFillShade="F2"/>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813" w:type="dxa"/>
          </w:tcPr>
          <w:p>
            <w:pPr>
              <w:jc w:val="center"/>
              <w:rPr>
                <w:rFonts w:hint="eastAsia"/>
                <w:sz w:val="28"/>
                <w:szCs w:val="28"/>
                <w:vertAlign w:val="baseline"/>
                <w:lang w:val="en-US" w:eastAsia="zh-CN"/>
              </w:rPr>
            </w:pPr>
            <w:r>
              <w:rPr>
                <w:rFonts w:hint="eastAsia"/>
                <w:sz w:val="28"/>
                <w:szCs w:val="28"/>
                <w:vertAlign w:val="baseline"/>
                <w:lang w:val="en-US" w:eastAsia="zh-CN"/>
              </w:rPr>
              <w:t>9</w:t>
            </w:r>
          </w:p>
        </w:tc>
        <w:tc>
          <w:tcPr>
            <w:tcW w:w="8689" w:type="dxa"/>
          </w:tcPr>
          <w:p>
            <w:pPr>
              <w:rPr>
                <w:rFonts w:hint="eastAsia"/>
                <w:sz w:val="24"/>
                <w:szCs w:val="24"/>
                <w:vertAlign w:val="baseline"/>
                <w:lang w:val="en-US" w:eastAsia="zh-CN"/>
              </w:rPr>
            </w:pPr>
            <w:r>
              <w:rPr>
                <w:rFonts w:hint="eastAsia"/>
                <w:sz w:val="24"/>
                <w:szCs w:val="24"/>
                <w:vertAlign w:val="baseline"/>
                <w:lang w:val="en-US" w:eastAsia="zh-CN"/>
              </w:rPr>
              <w:t>添加维修和物流的信息时已有的信息要设置默认</w:t>
            </w:r>
          </w:p>
        </w:tc>
        <w:tc>
          <w:tcPr>
            <w:tcW w:w="1470" w:type="dxa"/>
            <w:shd w:val="clear" w:color="auto" w:fill="F1F1F1" w:themeFill="background1" w:themeFillShade="F2"/>
          </w:tcPr>
          <w:p>
            <w:pPr>
              <w:rPr>
                <w:rFonts w:hint="eastAsia"/>
                <w:sz w:val="28"/>
                <w:szCs w:val="28"/>
                <w:vertAlign w:val="baseline"/>
                <w:lang w:val="en-US" w:eastAsia="zh-CN"/>
              </w:rPr>
            </w:pPr>
          </w:p>
        </w:tc>
        <w:tc>
          <w:tcPr>
            <w:tcW w:w="1245" w:type="dxa"/>
            <w:shd w:val="clear" w:color="auto" w:fill="F1F1F1" w:themeFill="background1" w:themeFillShade="F2"/>
          </w:tcPr>
          <w:p>
            <w:pPr>
              <w:rPr>
                <w:rFonts w:hint="eastAsia"/>
                <w:sz w:val="28"/>
                <w:szCs w:val="28"/>
                <w:vertAlign w:val="baseline"/>
                <w:lang w:val="en-US" w:eastAsia="zh-CN"/>
              </w:rPr>
            </w:pPr>
          </w:p>
        </w:tc>
        <w:tc>
          <w:tcPr>
            <w:tcW w:w="960" w:type="dxa"/>
            <w:shd w:val="clear" w:color="auto" w:fill="F1F1F1" w:themeFill="background1" w:themeFillShade="F2"/>
          </w:tcPr>
          <w:p>
            <w:pPr>
              <w:rPr>
                <w:rFonts w:hint="eastAsia"/>
                <w:sz w:val="28"/>
                <w:szCs w:val="28"/>
                <w:vertAlign w:val="baseline"/>
                <w:lang w:val="en-US" w:eastAsia="zh-CN"/>
              </w:rPr>
            </w:pPr>
            <w:r>
              <w:rPr>
                <w:rFonts w:hint="eastAsia"/>
                <w:color w:val="C00000"/>
                <w:sz w:val="28"/>
                <w:szCs w:val="28"/>
                <w:vertAlign w:val="baseline"/>
                <w:lang w:val="en-US" w:eastAsia="zh-CN"/>
              </w:rPr>
              <w:t>√</w:t>
            </w:r>
          </w:p>
        </w:tc>
        <w:tc>
          <w:tcPr>
            <w:tcW w:w="971" w:type="dxa"/>
            <w:shd w:val="clear" w:color="auto" w:fill="F1F1F1" w:themeFill="background1" w:themeFillShade="F2"/>
          </w:tcPr>
          <w:p>
            <w:pPr>
              <w:rPr>
                <w:rFonts w:hint="eastAsia"/>
                <w:sz w:val="28"/>
                <w:szCs w:val="28"/>
                <w:vertAlign w:val="baseline"/>
                <w:lang w:val="en-US" w:eastAsia="zh-CN"/>
              </w:rPr>
            </w:pPr>
          </w:p>
        </w:tc>
      </w:tr>
    </w:tbl>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本项目核心流程已经按照甲方要求完成并发布版本交付甲方进行初验，鉴于软件开发行业发布的新产品不完整ISART提供两次需求内免费修改，本次为第一次，在甲方初验款支付后将对本次修改意见进行修改。</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93551D"/>
    <w:rsid w:val="311539C1"/>
    <w:rsid w:val="43E110F0"/>
    <w:rsid w:val="47574AD1"/>
    <w:rsid w:val="5DC753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阳阳得意</cp:lastModifiedBy>
  <dcterms:modified xsi:type="dcterms:W3CDTF">2018-05-14T10:35:59Z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