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5000" w:type="pct"/>
        <w:tblCellSpacing w:w="12" w:type="dxa"/>
        <w:tblInd w:w="0" w:type="dxa"/>
        <w:shd w:val="clear" w:color="auto" w:fill="E3EDF6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54"/>
      </w:tblGrid>
      <w:tr w14:paraId="1BF7688E">
        <w:tblPrEx>
          <w:shd w:val="clear" w:color="auto" w:fill="E3EDF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2" w:type="dxa"/>
        </w:trPr>
        <w:tc>
          <w:tcPr>
            <w:tcW w:w="0" w:type="auto"/>
            <w:shd w:val="clear" w:color="auto" w:fill="FFFFFF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</w:tcPr>
          <w:tbl>
            <w:tblPr>
              <w:tblStyle w:val="5"/>
              <w:tblW w:w="3950" w:type="pct"/>
              <w:jc w:val="center"/>
              <w:tblCellSpacing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562"/>
            </w:tblGrid>
            <w:tr w14:paraId="781C6732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</w:tcPr>
                <w:p w14:paraId="100A599C">
                  <w:pPr>
                    <w:widowControl/>
                    <w:spacing w:before="100" w:beforeAutospacing="1" w:after="100" w:afterAutospacing="1"/>
                    <w:jc w:val="center"/>
                    <w:outlineLvl w:val="1"/>
                    <w:rPr>
                      <w:rFonts w:ascii="宋体" w:hAnsi="宋体" w:eastAsia="宋体" w:cs="宋体"/>
                      <w:b/>
                      <w:bCs/>
                      <w:kern w:val="0"/>
                      <w:sz w:val="36"/>
                      <w:szCs w:val="36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36"/>
                      <w:szCs w:val="36"/>
                    </w:rPr>
                    <w:t>山西省物价局 山西省财政厅</w:t>
                  </w: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36"/>
                      <w:szCs w:val="36"/>
                    </w:rPr>
                    <w:br w:type="textWrapping"/>
                  </w: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36"/>
                      <w:szCs w:val="36"/>
                    </w:rPr>
                    <w:t>关于会计师事务所服务收费标准</w:t>
                  </w: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36"/>
                      <w:szCs w:val="36"/>
                    </w:rPr>
                    <w:br w:type="textWrapping"/>
                  </w: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36"/>
                      <w:szCs w:val="36"/>
                    </w:rPr>
                    <w:t>及有关事项的通知</w:t>
                  </w:r>
                </w:p>
              </w:tc>
            </w:tr>
          </w:tbl>
          <w:p w14:paraId="74AFEBD6"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  <w:szCs w:val="24"/>
              </w:rPr>
            </w:pPr>
          </w:p>
        </w:tc>
      </w:tr>
      <w:tr w14:paraId="39417100">
        <w:tblPrEx>
          <w:shd w:val="clear" w:color="auto" w:fill="E3EDF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2" w:type="dxa"/>
        </w:trPr>
        <w:tc>
          <w:tcPr>
            <w:tcW w:w="0" w:type="auto"/>
            <w:shd w:val="clear" w:color="auto" w:fill="E5F4FB"/>
            <w:vAlign w:val="center"/>
          </w:tcPr>
          <w:p w14:paraId="7D72D424">
            <w:pPr>
              <w:widowControl/>
              <w:jc w:val="right"/>
              <w:rPr>
                <w:rFonts w:ascii="Arial" w:hAnsi="Arial" w:eastAsia="宋体" w:cs="Arial"/>
                <w:b/>
                <w:bCs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b/>
                <w:bCs/>
                <w:kern w:val="0"/>
                <w:sz w:val="18"/>
                <w:szCs w:val="18"/>
              </w:rPr>
              <w:t>发布日期： 2013-07-01</w:t>
            </w:r>
          </w:p>
        </w:tc>
      </w:tr>
      <w:tr w14:paraId="00D6BFA5">
        <w:tblPrEx>
          <w:shd w:val="clear" w:color="auto" w:fill="E3EDF6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2" w:type="dxa"/>
        </w:trPr>
        <w:tc>
          <w:tcPr>
            <w:tcW w:w="0" w:type="auto"/>
            <w:shd w:val="clear" w:color="auto" w:fill="F6F6F6"/>
            <w:vAlign w:val="center"/>
          </w:tcPr>
          <w:tbl>
            <w:tblPr>
              <w:tblStyle w:val="5"/>
              <w:tblW w:w="5000" w:type="pct"/>
              <w:jc w:val="center"/>
              <w:tblCellSpacing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306"/>
            </w:tblGrid>
            <w:tr w14:paraId="345B05C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6F6F6"/>
                  <w:tcMar>
                    <w:top w:w="75" w:type="dxa"/>
                    <w:left w:w="0" w:type="dxa"/>
                    <w:bottom w:w="0" w:type="dxa"/>
                    <w:right w:w="0" w:type="dxa"/>
                  </w:tcMar>
                </w:tcPr>
                <w:p w14:paraId="1E98D3A9">
                  <w:pPr>
                    <w:widowControl/>
                    <w:wordWrap w:val="0"/>
                    <w:spacing w:before="240" w:after="360" w:line="332" w:lineRule="atLeast"/>
                    <w:jc w:val="center"/>
                    <w:rPr>
                      <w:rFonts w:ascii="宋体" w:hAnsi="宋体" w:eastAsia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7"/>
                      <w:szCs w:val="27"/>
                    </w:rPr>
                    <w:t>晋价服字[2013]202号</w:t>
                  </w:r>
                </w:p>
                <w:p w14:paraId="67FCB8E2">
                  <w:pPr>
                    <w:widowControl/>
                    <w:wordWrap w:val="0"/>
                    <w:spacing w:before="240" w:after="360" w:line="332" w:lineRule="atLeast"/>
                    <w:jc w:val="left"/>
                    <w:rPr>
                      <w:rFonts w:hint="eastAsia" w:ascii="宋体" w:hAnsi="宋体" w:eastAsia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7"/>
                      <w:szCs w:val="27"/>
                    </w:rPr>
                    <w:t>各市物价局、财政局：</w:t>
                  </w:r>
                </w:p>
                <w:p w14:paraId="654DA2AC">
                  <w:pPr>
                    <w:widowControl/>
                    <w:wordWrap w:val="0"/>
                    <w:spacing w:before="100" w:beforeAutospacing="1" w:after="100" w:afterAutospacing="1" w:line="555" w:lineRule="atLeast"/>
                    <w:ind w:firstLine="645"/>
                    <w:jc w:val="left"/>
                    <w:rPr>
                      <w:rFonts w:hint="eastAsia" w:ascii="宋体" w:hAnsi="宋体" w:eastAsia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7"/>
                      <w:szCs w:val="27"/>
                    </w:rPr>
                    <w:t>为规范会计师事务所服务收费行为，保障会计师事务所服务质量，维护社会公共利益以及委托人、会计师事务所的合法权益，根据《国家发展改革委、财政部关于印发&lt;会计师事务所服务收费管理办法&gt;的通知》（发改价格[2010]196号）规定，经研究，我省会计师事务所服务收费标准按照下列规定执行，现将有关事项通知如下</w:t>
                  </w:r>
                  <w:r>
                    <w:rPr>
                      <w:rFonts w:hint="eastAsia" w:ascii="仿宋_gb2312" w:hAnsi="宋体" w:eastAsia="仿宋_gb2312" w:cs="宋体"/>
                      <w:kern w:val="0"/>
                      <w:sz w:val="27"/>
                      <w:szCs w:val="27"/>
                    </w:rPr>
                    <w:t>：</w:t>
                  </w:r>
                </w:p>
                <w:p w14:paraId="6E6681E3">
                  <w:pPr>
                    <w:widowControl/>
                    <w:wordWrap w:val="0"/>
                    <w:spacing w:before="100" w:beforeAutospacing="1" w:after="100" w:afterAutospacing="1" w:line="555" w:lineRule="atLeast"/>
                    <w:ind w:firstLine="645"/>
                    <w:jc w:val="left"/>
                    <w:rPr>
                      <w:rFonts w:hint="eastAsia" w:ascii="宋体" w:hAnsi="宋体" w:eastAsia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7"/>
                      <w:szCs w:val="27"/>
                    </w:rPr>
                    <w:t>一、会计师事务所依据《注册会计师法》及有关规定，开展相关服务，服务收费应遵循公开、公正、诚实信用和委托人付费的原则，应与委托人签订服务及收费合同（协议、业务约定书），并出据合法票据。</w:t>
                  </w:r>
                </w:p>
                <w:p w14:paraId="6D91E6C3">
                  <w:pPr>
                    <w:widowControl/>
                    <w:wordWrap w:val="0"/>
                    <w:spacing w:before="100" w:beforeAutospacing="1" w:after="100" w:afterAutospacing="1" w:line="555" w:lineRule="atLeast"/>
                    <w:ind w:firstLine="645"/>
                    <w:jc w:val="left"/>
                    <w:rPr>
                      <w:rFonts w:hint="eastAsia" w:ascii="宋体" w:hAnsi="宋体" w:eastAsia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7"/>
                      <w:szCs w:val="27"/>
                    </w:rPr>
                    <w:t>二、会计师事务所提供会计报表审计，验资，企业合并、分立、清算等审计服务的收费实行政府指导价。按照自愿有偿原则，提供会计咨询、会计服务等其他服务的收费实行市场调节价。</w:t>
                  </w:r>
                </w:p>
                <w:p w14:paraId="114EA614">
                  <w:pPr>
                    <w:widowControl/>
                    <w:wordWrap w:val="0"/>
                    <w:spacing w:before="100" w:beforeAutospacing="1" w:after="100" w:afterAutospacing="1" w:line="555" w:lineRule="atLeast"/>
                    <w:ind w:firstLine="645"/>
                    <w:jc w:val="left"/>
                    <w:rPr>
                      <w:rFonts w:hint="eastAsia" w:ascii="宋体" w:hAnsi="宋体" w:eastAsia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7"/>
                      <w:szCs w:val="27"/>
                    </w:rPr>
                    <w:t>三、会计师事务所服务收费标准见附表，收费方式实行计件收费、计时收费或计件与计时收费相结合的方式，可由双方协商确定。</w:t>
                  </w:r>
                </w:p>
                <w:p w14:paraId="1145FBA6">
                  <w:pPr>
                    <w:widowControl/>
                    <w:wordWrap w:val="0"/>
                    <w:spacing w:before="100" w:beforeAutospacing="1" w:after="100" w:afterAutospacing="1" w:line="555" w:lineRule="atLeast"/>
                    <w:ind w:firstLine="645"/>
                    <w:jc w:val="left"/>
                    <w:rPr>
                      <w:rFonts w:hint="eastAsia" w:ascii="宋体" w:hAnsi="宋体" w:eastAsia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7"/>
                      <w:szCs w:val="27"/>
                    </w:rPr>
                    <w:t>四、会计师事务所应在其经营场所显著位置公示服务项目、计费方法和收费标准等内容，自觉接受价格主管部门的检查和社会监督。</w:t>
                  </w:r>
                </w:p>
                <w:p w14:paraId="44D3D37D">
                  <w:pPr>
                    <w:widowControl/>
                    <w:wordWrap w:val="0"/>
                    <w:spacing w:before="100" w:beforeAutospacing="1" w:after="100" w:afterAutospacing="1" w:line="555" w:lineRule="atLeast"/>
                    <w:ind w:firstLine="630"/>
                    <w:jc w:val="left"/>
                    <w:rPr>
                      <w:rFonts w:hint="eastAsia" w:ascii="宋体" w:hAnsi="宋体" w:eastAsia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7"/>
                      <w:szCs w:val="27"/>
                    </w:rPr>
                    <w:t>五、本通知从2013年7月1日起执行，期限为三年。省物价局、省财政厅《关于继续执行会计师事务所服务收费标准的通知》（晋价服字[2011]180号）同时废止。</w:t>
                  </w:r>
                </w:p>
                <w:p w14:paraId="0D65477E">
                  <w:pPr>
                    <w:widowControl/>
                    <w:wordWrap w:val="0"/>
                    <w:spacing w:before="100" w:beforeAutospacing="1" w:after="100" w:afterAutospacing="1" w:line="600" w:lineRule="atLeast"/>
                    <w:ind w:firstLine="645"/>
                    <w:jc w:val="left"/>
                    <w:rPr>
                      <w:rFonts w:hint="eastAsia" w:ascii="宋体" w:hAnsi="宋体" w:eastAsia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7"/>
                      <w:szCs w:val="27"/>
                    </w:rPr>
                    <w:t>六、省会计师事务所管理机构应按照省物价局《关于实行部分重要经营服务性收费执行情况年度报送制度的通知》（晋价服字[2011]61号）规定要求，报送全省会计师事务所收费相关情况。</w:t>
                  </w:r>
                </w:p>
                <w:p w14:paraId="01746187">
                  <w:pPr>
                    <w:widowControl/>
                    <w:wordWrap w:val="0"/>
                    <w:spacing w:before="100" w:beforeAutospacing="1" w:after="100" w:afterAutospacing="1" w:line="600" w:lineRule="atLeast"/>
                    <w:ind w:firstLine="645"/>
                    <w:jc w:val="left"/>
                    <w:rPr>
                      <w:rFonts w:hint="eastAsia" w:ascii="宋体" w:hAnsi="宋体" w:eastAsia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0"/>
                      <w:szCs w:val="20"/>
                    </w:rPr>
                    <w:t> </w:t>
                  </w:r>
                </w:p>
                <w:p w14:paraId="68CE26B9">
                  <w:pPr>
                    <w:widowControl/>
                    <w:wordWrap w:val="0"/>
                    <w:spacing w:before="100" w:beforeAutospacing="1" w:after="100" w:afterAutospacing="1" w:line="240" w:lineRule="atLeast"/>
                    <w:jc w:val="left"/>
                    <w:rPr>
                      <w:rFonts w:hint="eastAsia" w:ascii="宋体" w:hAnsi="宋体" w:eastAsia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0"/>
                      <w:szCs w:val="20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1795794802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95794802" name="图片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fldChar w:fldCharType="begin"/>
                  </w:r>
                  <w:r>
                    <w:instrText xml:space="preserve"> HYPERLINK "http://www.sxicpa.org.cn/third/ueditor/server/upload/uploadfiles/55891372640748.doc" </w:instrText>
                  </w:r>
                  <w:r>
                    <w:fldChar w:fldCharType="separate"/>
                  </w:r>
                  <w:r>
                    <w:rPr>
                      <w:rFonts w:hint="eastAsia" w:ascii="仿宋_gb2312" w:hAnsi="宋体" w:eastAsia="仿宋_gb2312" w:cs="宋体"/>
                      <w:color w:val="000000"/>
                      <w:kern w:val="0"/>
                      <w:sz w:val="32"/>
                      <w:szCs w:val="32"/>
                      <w:u w:val="single"/>
                    </w:rPr>
                    <w:t>附表：山西省会计师事务所服务收费标准</w:t>
                  </w: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0"/>
                      <w:szCs w:val="20"/>
                      <w:u w:val="single"/>
                    </w:rPr>
                    <w:t>.doc</w:t>
                  </w:r>
                  <w:r>
                    <w:rPr>
                      <w:rFonts w:hint="eastAsia" w:ascii="宋体" w:hAnsi="宋体" w:eastAsia="宋体" w:cs="宋体"/>
                      <w:color w:val="000000"/>
                      <w:kern w:val="0"/>
                      <w:sz w:val="20"/>
                      <w:szCs w:val="20"/>
                      <w:u w:val="single"/>
                    </w:rPr>
                    <w:fldChar w:fldCharType="end"/>
                  </w:r>
                </w:p>
                <w:p w14:paraId="3D76BC6F">
                  <w:pPr>
                    <w:widowControl/>
                    <w:wordWrap w:val="0"/>
                    <w:spacing w:before="100" w:beforeAutospacing="1" w:after="100" w:afterAutospacing="1" w:line="600" w:lineRule="atLeast"/>
                    <w:ind w:firstLine="645"/>
                    <w:jc w:val="left"/>
                    <w:rPr>
                      <w:rFonts w:hint="eastAsia" w:ascii="宋体" w:hAnsi="宋体" w:eastAsia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0"/>
                      <w:szCs w:val="20"/>
                    </w:rPr>
                    <w:t> </w:t>
                  </w:r>
                </w:p>
                <w:p w14:paraId="0F27CAF0">
                  <w:pPr>
                    <w:widowControl/>
                    <w:wordWrap w:val="0"/>
                    <w:spacing w:before="100" w:beforeAutospacing="1" w:after="100" w:afterAutospacing="1" w:line="555" w:lineRule="atLeast"/>
                    <w:ind w:firstLine="2880"/>
                    <w:jc w:val="left"/>
                    <w:rPr>
                      <w:rFonts w:hint="eastAsia" w:ascii="宋体" w:hAnsi="宋体" w:eastAsia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36"/>
                      <w:szCs w:val="36"/>
                    </w:rPr>
                    <w:t>                     </w:t>
                  </w:r>
                  <w:r>
                    <w:rPr>
                      <w:rFonts w:hint="eastAsia" w:ascii="宋体" w:hAnsi="宋体" w:eastAsia="宋体" w:cs="宋体"/>
                      <w:kern w:val="0"/>
                      <w:sz w:val="27"/>
                      <w:szCs w:val="27"/>
                    </w:rPr>
                    <w:t>山西省物价局      山西省财政厅</w:t>
                  </w:r>
                </w:p>
                <w:p w14:paraId="04A12026">
                  <w:pPr>
                    <w:widowControl/>
                    <w:wordWrap w:val="0"/>
                    <w:spacing w:before="100" w:beforeAutospacing="1" w:after="100" w:afterAutospacing="1" w:line="555" w:lineRule="atLeast"/>
                    <w:jc w:val="center"/>
                    <w:rPr>
                      <w:rFonts w:hint="eastAsia" w:ascii="宋体" w:hAnsi="宋体" w:eastAsia="宋体" w:cs="宋体"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7"/>
                      <w:szCs w:val="27"/>
                    </w:rPr>
                    <w:t>                                                    2013年6月26日</w:t>
                  </w:r>
                </w:p>
              </w:tc>
            </w:tr>
          </w:tbl>
          <w:p w14:paraId="22FA8BED">
            <w:pPr>
              <w:widowControl/>
              <w:jc w:val="left"/>
              <w:rPr>
                <w:rFonts w:hint="eastAsia" w:ascii="Arial" w:hAnsi="Arial" w:eastAsia="宋体" w:cs="Arial"/>
                <w:kern w:val="0"/>
                <w:sz w:val="24"/>
                <w:szCs w:val="24"/>
              </w:rPr>
            </w:pPr>
          </w:p>
        </w:tc>
      </w:tr>
    </w:tbl>
    <w:p w14:paraId="4DBBE37C"/>
    <w:p w14:paraId="34B63578"/>
    <w:p w14:paraId="78C9B867"/>
    <w:p w14:paraId="48994201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78E578C">
      <w:pPr>
        <w:rPr>
          <w:rFonts w:hint="eastAsia"/>
        </w:rPr>
      </w:pPr>
      <w:bookmarkStart w:id="0" w:name="_GoBack"/>
      <w:r>
        <w:drawing>
          <wp:inline distT="0" distB="0" distL="0" distR="0">
            <wp:extent cx="8863330" cy="4907280"/>
            <wp:effectExtent l="0" t="0" r="1270" b="7620"/>
            <wp:docPr id="14837123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12354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6838" w:h="11906" w:orient="landscape"/>
      <w:pgMar w:top="1797" w:right="1440" w:bottom="1797" w:left="1440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_gb2312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AA8"/>
    <w:rsid w:val="00123AA8"/>
    <w:rsid w:val="0051457A"/>
    <w:rsid w:val="00590389"/>
    <w:rsid w:val="00A07FE1"/>
    <w:rsid w:val="00EA4E92"/>
    <w:rsid w:val="2E16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link w:val="8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link w:val="9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yperlink"/>
    <w:basedOn w:val="6"/>
    <w:semiHidden/>
    <w:unhideWhenUsed/>
    <w:uiPriority w:val="99"/>
    <w:rPr>
      <w:color w:val="0000FF"/>
      <w:u w:val="single"/>
    </w:rPr>
  </w:style>
  <w:style w:type="character" w:customStyle="1" w:styleId="8">
    <w:name w:val="标题 2 字符"/>
    <w:basedOn w:val="6"/>
    <w:link w:val="2"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9">
    <w:name w:val="日期 字符"/>
    <w:basedOn w:val="6"/>
    <w:link w:val="3"/>
    <w:semiHidden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670</Words>
  <Characters>720</Characters>
  <Lines>6</Lines>
  <Paragraphs>1</Paragraphs>
  <TotalTime>28</TotalTime>
  <ScaleCrop>false</ScaleCrop>
  <LinksUpToDate>false</LinksUpToDate>
  <CharactersWithSpaces>803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2023-07-03T07:09:00Z</dcterms:created>
  <dc:creator>刘 阳</dc:creator>
  <cp:lastModifiedBy>WPS_1644204628</cp:lastModifiedBy>
  <dcterms:modified xsi:type="dcterms:W3CDTF">2024-12-24T01:45:27Z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BD930EAA14C4455795033C0066DD5A0C_12</vt:lpwstr>
  </property>
</Properties>
</file>